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57AFC" w14:textId="20F46265" w:rsidR="00853012" w:rsidRPr="001162FE" w:rsidRDefault="00123A68" w:rsidP="001162FE">
      <w:pPr>
        <w:jc w:val="center"/>
        <w:rPr>
          <w:b/>
          <w:sz w:val="28"/>
          <w:szCs w:val="28"/>
        </w:rPr>
      </w:pPr>
      <w:r w:rsidRPr="00123A68">
        <w:rPr>
          <w:noProof/>
          <w:lang w:eastAsia="en-NZ"/>
        </w:rPr>
        <w:drawing>
          <wp:inline distT="0" distB="0" distL="0" distR="0" wp14:anchorId="088B6ED4" wp14:editId="68277CF3">
            <wp:extent cx="1866900" cy="622184"/>
            <wp:effectExtent l="0" t="0" r="0" b="6985"/>
            <wp:docPr id="2" name="Picture 2" descr="L:\WellSouth Stationery\Logos\Colour\WS_logo_horizontal\Wellsouth_horizontal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ellSouth Stationery\Logos\Colour\WS_logo_horizontal\Wellsouth_horizontal_hig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9400" cy="643013"/>
                    </a:xfrm>
                    <a:prstGeom prst="rect">
                      <a:avLst/>
                    </a:prstGeom>
                    <a:noFill/>
                    <a:ln>
                      <a:noFill/>
                    </a:ln>
                  </pic:spPr>
                </pic:pic>
              </a:graphicData>
            </a:graphic>
          </wp:inline>
        </w:drawing>
      </w:r>
      <w:r>
        <w:rPr>
          <w:b/>
          <w:sz w:val="28"/>
          <w:szCs w:val="28"/>
        </w:rPr>
        <w:t xml:space="preserve">         </w:t>
      </w:r>
      <w:r w:rsidR="005D23F0">
        <w:rPr>
          <w:b/>
          <w:sz w:val="28"/>
          <w:szCs w:val="28"/>
        </w:rPr>
        <w:t xml:space="preserve">Bisphosphonate </w:t>
      </w:r>
      <w:r w:rsidR="001162FE" w:rsidRPr="001162FE">
        <w:rPr>
          <w:b/>
          <w:sz w:val="28"/>
          <w:szCs w:val="28"/>
        </w:rPr>
        <w:t>Standing Order</w:t>
      </w:r>
      <w:r w:rsidRPr="00123A6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bl>
      <w:tblPr>
        <w:tblStyle w:val="TableGrid"/>
        <w:tblW w:w="0" w:type="auto"/>
        <w:jc w:val="center"/>
        <w:tblLook w:val="04A0" w:firstRow="1" w:lastRow="0" w:firstColumn="1" w:lastColumn="0" w:noHBand="0" w:noVBand="1"/>
      </w:tblPr>
      <w:tblGrid>
        <w:gridCol w:w="1555"/>
        <w:gridCol w:w="1984"/>
        <w:gridCol w:w="1843"/>
        <w:gridCol w:w="2268"/>
      </w:tblGrid>
      <w:tr w:rsidR="001162FE" w14:paraId="26198313" w14:textId="77777777" w:rsidTr="00877CF2">
        <w:trPr>
          <w:jc w:val="center"/>
        </w:trPr>
        <w:tc>
          <w:tcPr>
            <w:tcW w:w="1555" w:type="dxa"/>
          </w:tcPr>
          <w:p w14:paraId="204BEBA4" w14:textId="77777777" w:rsidR="001162FE" w:rsidRDefault="001162FE">
            <w:r>
              <w:t>Issue date:</w:t>
            </w:r>
          </w:p>
        </w:tc>
        <w:tc>
          <w:tcPr>
            <w:tcW w:w="1984" w:type="dxa"/>
          </w:tcPr>
          <w:p w14:paraId="1B9BC11B" w14:textId="77777777" w:rsidR="001162FE" w:rsidRDefault="001162FE"/>
        </w:tc>
        <w:tc>
          <w:tcPr>
            <w:tcW w:w="1843" w:type="dxa"/>
          </w:tcPr>
          <w:p w14:paraId="414BEA12" w14:textId="77777777" w:rsidR="001162FE" w:rsidRDefault="001162FE">
            <w:r>
              <w:t>Review date:</w:t>
            </w:r>
          </w:p>
        </w:tc>
        <w:tc>
          <w:tcPr>
            <w:tcW w:w="2268" w:type="dxa"/>
          </w:tcPr>
          <w:p w14:paraId="185F9666" w14:textId="77777777" w:rsidR="001162FE" w:rsidRDefault="001162FE"/>
        </w:tc>
      </w:tr>
    </w:tbl>
    <w:p w14:paraId="3BC63656" w14:textId="77777777" w:rsidR="001162FE" w:rsidRDefault="001162FE"/>
    <w:p w14:paraId="3E1F5131" w14:textId="77777777" w:rsidR="001162FE" w:rsidRDefault="001162FE">
      <w:r>
        <w:t>This standing order is not valid after the review date.</w:t>
      </w:r>
      <w:r w:rsidR="00877CF2">
        <w:t xml:space="preserve"> The review date is one year after the date the order was signed by the issuer.</w:t>
      </w:r>
    </w:p>
    <w:tbl>
      <w:tblPr>
        <w:tblStyle w:val="TableGrid"/>
        <w:tblW w:w="0" w:type="auto"/>
        <w:tblLook w:val="04A0" w:firstRow="1" w:lastRow="0" w:firstColumn="1" w:lastColumn="0" w:noHBand="0" w:noVBand="1"/>
      </w:tblPr>
      <w:tblGrid>
        <w:gridCol w:w="2689"/>
        <w:gridCol w:w="8073"/>
      </w:tblGrid>
      <w:tr w:rsidR="001162FE" w14:paraId="66E8103E" w14:textId="77777777" w:rsidTr="001162FE">
        <w:tc>
          <w:tcPr>
            <w:tcW w:w="2689" w:type="dxa"/>
          </w:tcPr>
          <w:p w14:paraId="527A975F" w14:textId="77777777" w:rsidR="001162FE" w:rsidRPr="0064385C" w:rsidRDefault="00877CF2">
            <w:pPr>
              <w:rPr>
                <w:b/>
              </w:rPr>
            </w:pPr>
            <w:r w:rsidRPr="0064385C">
              <w:rPr>
                <w:b/>
              </w:rPr>
              <w:t>Standing Order Name</w:t>
            </w:r>
          </w:p>
        </w:tc>
        <w:tc>
          <w:tcPr>
            <w:tcW w:w="8073" w:type="dxa"/>
          </w:tcPr>
          <w:p w14:paraId="440DF7CB" w14:textId="328205C4" w:rsidR="001162FE" w:rsidRDefault="005F6636">
            <w:r>
              <w:t xml:space="preserve">Oral </w:t>
            </w:r>
            <w:r w:rsidR="005D23F0">
              <w:t>Bisphosphonate</w:t>
            </w:r>
          </w:p>
        </w:tc>
      </w:tr>
      <w:tr w:rsidR="001162FE" w14:paraId="4E19E90F" w14:textId="77777777" w:rsidTr="001162FE">
        <w:tc>
          <w:tcPr>
            <w:tcW w:w="2689" w:type="dxa"/>
          </w:tcPr>
          <w:p w14:paraId="6FC41122" w14:textId="77777777" w:rsidR="001162FE" w:rsidRPr="0064385C" w:rsidRDefault="00877CF2">
            <w:pPr>
              <w:rPr>
                <w:b/>
              </w:rPr>
            </w:pPr>
            <w:r w:rsidRPr="0064385C">
              <w:rPr>
                <w:b/>
              </w:rPr>
              <w:t>Rationale</w:t>
            </w:r>
          </w:p>
        </w:tc>
        <w:tc>
          <w:tcPr>
            <w:tcW w:w="8073" w:type="dxa"/>
          </w:tcPr>
          <w:p w14:paraId="4FD233CC" w14:textId="6400F635" w:rsidR="001162FE" w:rsidRPr="00DF742B" w:rsidRDefault="00730525" w:rsidP="00730525">
            <w:pPr>
              <w:rPr>
                <w:color w:val="FF0000"/>
              </w:rPr>
            </w:pPr>
            <w:r>
              <w:t xml:space="preserve">To ensure </w:t>
            </w:r>
            <w:r w:rsidR="005D23F0">
              <w:t>swift and appropriate initiation of alendronate and vitamin D in patients who have suffered from a fragility fracture.</w:t>
            </w:r>
          </w:p>
        </w:tc>
      </w:tr>
      <w:tr w:rsidR="001162FE" w14:paraId="116C7796" w14:textId="77777777" w:rsidTr="001162FE">
        <w:tc>
          <w:tcPr>
            <w:tcW w:w="2689" w:type="dxa"/>
          </w:tcPr>
          <w:p w14:paraId="530EB705" w14:textId="77777777" w:rsidR="00877CF2" w:rsidRPr="0064385C" w:rsidRDefault="008C2A3F">
            <w:pPr>
              <w:rPr>
                <w:b/>
              </w:rPr>
            </w:pPr>
            <w:r w:rsidRPr="0064385C">
              <w:rPr>
                <w:b/>
              </w:rPr>
              <w:t>Scope (condition and patient group)</w:t>
            </w:r>
          </w:p>
        </w:tc>
        <w:tc>
          <w:tcPr>
            <w:tcW w:w="8073" w:type="dxa"/>
          </w:tcPr>
          <w:p w14:paraId="76901B19" w14:textId="5A1C38B5" w:rsidR="001162FE" w:rsidRDefault="008933A1">
            <w:r>
              <w:t xml:space="preserve">Adults </w:t>
            </w:r>
            <w:r w:rsidR="005D23F0">
              <w:t>who meet criteria of having suffered a fragility fracture</w:t>
            </w:r>
            <w:r w:rsidR="00E359D2">
              <w:t xml:space="preserve"> and have been referred to the </w:t>
            </w:r>
            <w:r w:rsidR="00FC6F37">
              <w:t xml:space="preserve">WellSouth </w:t>
            </w:r>
            <w:r w:rsidR="00E359D2">
              <w:t>F</w:t>
            </w:r>
            <w:r w:rsidR="00DB69AF">
              <w:t>racture</w:t>
            </w:r>
            <w:r w:rsidR="00E359D2">
              <w:t xml:space="preserve"> Liaison Service</w:t>
            </w:r>
            <w:r w:rsidR="005F6636">
              <w:t xml:space="preserve"> and there is </w:t>
            </w:r>
            <w:r w:rsidR="00CC337E">
              <w:t>limited</w:t>
            </w:r>
            <w:r w:rsidR="005F6636">
              <w:t xml:space="preserve"> capacity in primary care to manage the patient</w:t>
            </w:r>
          </w:p>
        </w:tc>
      </w:tr>
      <w:tr w:rsidR="001162FE" w14:paraId="6CFB018D" w14:textId="77777777" w:rsidTr="001162FE">
        <w:tc>
          <w:tcPr>
            <w:tcW w:w="2689" w:type="dxa"/>
          </w:tcPr>
          <w:p w14:paraId="34F84411" w14:textId="77777777" w:rsidR="001162FE" w:rsidRPr="0064385C" w:rsidRDefault="008C2A3F">
            <w:pPr>
              <w:rPr>
                <w:b/>
              </w:rPr>
            </w:pPr>
            <w:r w:rsidRPr="0064385C">
              <w:rPr>
                <w:b/>
              </w:rPr>
              <w:t>Assessment</w:t>
            </w:r>
          </w:p>
        </w:tc>
        <w:tc>
          <w:tcPr>
            <w:tcW w:w="8073" w:type="dxa"/>
          </w:tcPr>
          <w:p w14:paraId="323E90A4" w14:textId="6C8B27DA" w:rsidR="00473CD8" w:rsidRDefault="00E359D2" w:rsidP="00E359D2">
            <w:pPr>
              <w:pStyle w:val="ListParagraph"/>
              <w:numPr>
                <w:ilvl w:val="0"/>
                <w:numId w:val="14"/>
              </w:numPr>
            </w:pPr>
            <w:r>
              <w:t>Patient has had a recent fragility fracture</w:t>
            </w:r>
          </w:p>
          <w:p w14:paraId="68F86442" w14:textId="07B84F59" w:rsidR="005F6636" w:rsidRDefault="005F6636" w:rsidP="005F6636">
            <w:pPr>
              <w:pStyle w:val="ListParagraph"/>
              <w:numPr>
                <w:ilvl w:val="0"/>
                <w:numId w:val="14"/>
              </w:numPr>
            </w:pPr>
            <w:r>
              <w:t xml:space="preserve">Contact Primary Care team to make them aware of the need for intervention and check whether they have capacity to do so; if </w:t>
            </w:r>
            <w:r w:rsidR="00DB69AF">
              <w:t>they have capacity</w:t>
            </w:r>
            <w:r>
              <w:t xml:space="preserve"> then formally hand over to primary care team, if not then continue as below</w:t>
            </w:r>
          </w:p>
          <w:p w14:paraId="457461AF" w14:textId="3D2F2A21" w:rsidR="00E359D2" w:rsidRPr="003F0FF4" w:rsidRDefault="00E359D2" w:rsidP="00E359D2">
            <w:pPr>
              <w:pStyle w:val="ListParagraph"/>
              <w:numPr>
                <w:ilvl w:val="0"/>
                <w:numId w:val="14"/>
              </w:numPr>
            </w:pPr>
            <w:r w:rsidRPr="003F0FF4">
              <w:t>Check patient has not been prescribed a bisphosphonate previously</w:t>
            </w:r>
            <w:r w:rsidR="003F0FF4">
              <w:t xml:space="preserve"> (both in hospital and primary care)</w:t>
            </w:r>
            <w:r w:rsidRPr="003F0FF4">
              <w:t xml:space="preserve"> (</w:t>
            </w:r>
            <w:proofErr w:type="gramStart"/>
            <w:r w:rsidRPr="003F0FF4">
              <w:t>e</w:t>
            </w:r>
            <w:r w:rsidR="00FC6F37">
              <w:t>.</w:t>
            </w:r>
            <w:r w:rsidRPr="003F0FF4">
              <w:t>g</w:t>
            </w:r>
            <w:r w:rsidR="00FC6F37">
              <w:t>.</w:t>
            </w:r>
            <w:proofErr w:type="gramEnd"/>
            <w:r w:rsidRPr="003F0FF4">
              <w:t xml:space="preserve"> alendronate (Fosamax</w:t>
            </w:r>
            <w:r w:rsidRPr="003F0FF4">
              <w:rPr>
                <w:rFonts w:cstheme="minorHAnsi"/>
              </w:rPr>
              <w:t>®</w:t>
            </w:r>
            <w:r w:rsidRPr="003F0FF4">
              <w:t>), risedronate, zoledronic acid (</w:t>
            </w:r>
            <w:proofErr w:type="spellStart"/>
            <w:r w:rsidRPr="003F0FF4">
              <w:t>Aclasta</w:t>
            </w:r>
            <w:proofErr w:type="spellEnd"/>
            <w:r w:rsidRPr="003F0FF4">
              <w:rPr>
                <w:rFonts w:cstheme="minorHAnsi"/>
              </w:rPr>
              <w:t>®</w:t>
            </w:r>
            <w:r w:rsidRPr="003F0FF4">
              <w:t>)</w:t>
            </w:r>
          </w:p>
          <w:p w14:paraId="12E49EBE" w14:textId="594B9E27" w:rsidR="003F0FF4" w:rsidRPr="003F0FF4" w:rsidRDefault="003F0FF4" w:rsidP="00E359D2">
            <w:pPr>
              <w:pStyle w:val="ListParagraph"/>
              <w:numPr>
                <w:ilvl w:val="0"/>
                <w:numId w:val="14"/>
              </w:numPr>
            </w:pPr>
            <w:r w:rsidRPr="003F0FF4">
              <w:t>Check patients’ renal function</w:t>
            </w:r>
            <w:r w:rsidR="005F6636">
              <w:t xml:space="preserve"> and calculate creatinine clearance using </w:t>
            </w:r>
            <w:proofErr w:type="spellStart"/>
            <w:r w:rsidR="005F6636">
              <w:t>Cockroft</w:t>
            </w:r>
            <w:proofErr w:type="spellEnd"/>
            <w:r w:rsidR="005F6636">
              <w:t>-Gault calculator (MD-Calc)</w:t>
            </w:r>
            <w:r w:rsidR="00DB69AF">
              <w:t xml:space="preserve"> (or see below for equation)</w:t>
            </w:r>
          </w:p>
          <w:p w14:paraId="2B80165E" w14:textId="3B60D3A2" w:rsidR="003F0FF4" w:rsidRDefault="003F0FF4" w:rsidP="00E359D2">
            <w:pPr>
              <w:pStyle w:val="ListParagraph"/>
              <w:numPr>
                <w:ilvl w:val="0"/>
                <w:numId w:val="14"/>
              </w:numPr>
            </w:pPr>
            <w:r w:rsidRPr="003F0FF4">
              <w:t>Check for contraindications</w:t>
            </w:r>
            <w:r w:rsidR="005F6636">
              <w:t xml:space="preserve">, </w:t>
            </w:r>
            <w:proofErr w:type="gramStart"/>
            <w:r w:rsidR="005F6636">
              <w:t>interactions</w:t>
            </w:r>
            <w:proofErr w:type="gramEnd"/>
            <w:r w:rsidRPr="003F0FF4">
              <w:t xml:space="preserve"> and precautions</w:t>
            </w:r>
            <w:r>
              <w:t xml:space="preserve"> below</w:t>
            </w:r>
          </w:p>
          <w:p w14:paraId="0F954815" w14:textId="468765D5" w:rsidR="00864FFB" w:rsidRDefault="00A81455" w:rsidP="002764B7">
            <w:pPr>
              <w:pStyle w:val="ListParagraph"/>
              <w:numPr>
                <w:ilvl w:val="0"/>
                <w:numId w:val="14"/>
              </w:numPr>
            </w:pPr>
            <w:r>
              <w:t>Counsel on need for longer term use, expected duration (3-5 years with reassessment of need), rare but serious adverse effects (osteonecrosis of the jaw, risk of atypical hip fracture), interactions with other medications and importance of ongoing lifestyle interventions for bone health</w:t>
            </w:r>
          </w:p>
        </w:tc>
      </w:tr>
      <w:tr w:rsidR="001162FE" w14:paraId="50FC3A6B" w14:textId="77777777" w:rsidTr="001162FE">
        <w:tc>
          <w:tcPr>
            <w:tcW w:w="2689" w:type="dxa"/>
          </w:tcPr>
          <w:p w14:paraId="747779B4" w14:textId="77777777" w:rsidR="001162FE" w:rsidRPr="0064385C" w:rsidRDefault="0064385C">
            <w:pPr>
              <w:rPr>
                <w:b/>
              </w:rPr>
            </w:pPr>
            <w:r>
              <w:rPr>
                <w:b/>
              </w:rPr>
              <w:t>Indication</w:t>
            </w:r>
          </w:p>
        </w:tc>
        <w:tc>
          <w:tcPr>
            <w:tcW w:w="8073" w:type="dxa"/>
          </w:tcPr>
          <w:p w14:paraId="2684D56B" w14:textId="44C8C9C5" w:rsidR="001162FE" w:rsidRPr="008751F7" w:rsidRDefault="008751F7" w:rsidP="008751F7">
            <w:pPr>
              <w:rPr>
                <w:b/>
              </w:rPr>
            </w:pPr>
            <w:r w:rsidRPr="008751F7">
              <w:rPr>
                <w:b/>
              </w:rPr>
              <w:t xml:space="preserve">For patients </w:t>
            </w:r>
            <w:r w:rsidR="005D23F0">
              <w:rPr>
                <w:b/>
              </w:rPr>
              <w:t xml:space="preserve">who have recently suffered a fragility fracture and are being followed up by the </w:t>
            </w:r>
            <w:r w:rsidR="00FC6F37">
              <w:rPr>
                <w:b/>
              </w:rPr>
              <w:t xml:space="preserve">WellSouth </w:t>
            </w:r>
            <w:r w:rsidR="000173C3">
              <w:rPr>
                <w:b/>
              </w:rPr>
              <w:t>F</w:t>
            </w:r>
            <w:r w:rsidR="00DB69AF">
              <w:rPr>
                <w:b/>
              </w:rPr>
              <w:t>racture</w:t>
            </w:r>
            <w:r w:rsidR="005D23F0">
              <w:rPr>
                <w:b/>
              </w:rPr>
              <w:t xml:space="preserve"> </w:t>
            </w:r>
            <w:r w:rsidR="000173C3">
              <w:rPr>
                <w:b/>
              </w:rPr>
              <w:t>L</w:t>
            </w:r>
            <w:r w:rsidR="005D23F0">
              <w:rPr>
                <w:b/>
              </w:rPr>
              <w:t xml:space="preserve">iaison </w:t>
            </w:r>
            <w:r w:rsidR="000173C3">
              <w:rPr>
                <w:b/>
              </w:rPr>
              <w:t>S</w:t>
            </w:r>
            <w:r w:rsidR="005D23F0">
              <w:rPr>
                <w:b/>
              </w:rPr>
              <w:t>ervice</w:t>
            </w:r>
          </w:p>
        </w:tc>
      </w:tr>
      <w:tr w:rsidR="001162FE" w14:paraId="3E0BE516" w14:textId="77777777" w:rsidTr="001162FE">
        <w:tc>
          <w:tcPr>
            <w:tcW w:w="2689" w:type="dxa"/>
          </w:tcPr>
          <w:p w14:paraId="7759FED3" w14:textId="77777777" w:rsidR="001162FE" w:rsidRPr="0064385C" w:rsidRDefault="00877CF2">
            <w:pPr>
              <w:rPr>
                <w:b/>
              </w:rPr>
            </w:pPr>
            <w:r w:rsidRPr="0064385C">
              <w:rPr>
                <w:b/>
              </w:rPr>
              <w:t>Medicine</w:t>
            </w:r>
          </w:p>
        </w:tc>
        <w:tc>
          <w:tcPr>
            <w:tcW w:w="8073" w:type="dxa"/>
          </w:tcPr>
          <w:p w14:paraId="5291CA54" w14:textId="2A317D9C" w:rsidR="001162FE" w:rsidRDefault="005D23F0">
            <w:r>
              <w:rPr>
                <w:b/>
              </w:rPr>
              <w:t xml:space="preserve">Alendronate 70mg with colecalciferol </w:t>
            </w:r>
            <w:r w:rsidR="000173C3">
              <w:rPr>
                <w:b/>
              </w:rPr>
              <w:t>140 micrograms</w:t>
            </w:r>
          </w:p>
        </w:tc>
      </w:tr>
      <w:tr w:rsidR="001162FE" w14:paraId="038FFA3E" w14:textId="77777777" w:rsidTr="001162FE">
        <w:tc>
          <w:tcPr>
            <w:tcW w:w="2689" w:type="dxa"/>
          </w:tcPr>
          <w:p w14:paraId="69605E66" w14:textId="77777777" w:rsidR="00877CF2" w:rsidRPr="0064385C" w:rsidRDefault="00877CF2">
            <w:pPr>
              <w:rPr>
                <w:b/>
              </w:rPr>
            </w:pPr>
            <w:r w:rsidRPr="0064385C">
              <w:rPr>
                <w:b/>
              </w:rPr>
              <w:t>Dosage instructions</w:t>
            </w:r>
          </w:p>
        </w:tc>
        <w:tc>
          <w:tcPr>
            <w:tcW w:w="8073" w:type="dxa"/>
          </w:tcPr>
          <w:p w14:paraId="2646C212" w14:textId="64EC248C" w:rsidR="001162FE" w:rsidRPr="000173C3" w:rsidRDefault="000173C3" w:rsidP="006E6916">
            <w:r w:rsidRPr="000173C3">
              <w:t xml:space="preserve">1 tablet </w:t>
            </w:r>
            <w:r w:rsidR="003F0FF4">
              <w:t>ONCE</w:t>
            </w:r>
            <w:r w:rsidRPr="000173C3">
              <w:t xml:space="preserve"> a week</w:t>
            </w:r>
            <w:r w:rsidR="003F0FF4">
              <w:t xml:space="preserve"> on the same day each week</w:t>
            </w:r>
          </w:p>
        </w:tc>
      </w:tr>
      <w:tr w:rsidR="001162FE" w14:paraId="24A162A6" w14:textId="77777777" w:rsidTr="001162FE">
        <w:tc>
          <w:tcPr>
            <w:tcW w:w="2689" w:type="dxa"/>
          </w:tcPr>
          <w:p w14:paraId="457FDDDC" w14:textId="77777777" w:rsidR="001162FE" w:rsidRPr="0064385C" w:rsidRDefault="00877CF2">
            <w:pPr>
              <w:rPr>
                <w:b/>
              </w:rPr>
            </w:pPr>
            <w:r w:rsidRPr="0064385C">
              <w:rPr>
                <w:b/>
              </w:rPr>
              <w:t>Route of administration</w:t>
            </w:r>
          </w:p>
        </w:tc>
        <w:tc>
          <w:tcPr>
            <w:tcW w:w="8073" w:type="dxa"/>
          </w:tcPr>
          <w:p w14:paraId="556F29BF" w14:textId="77777777" w:rsidR="001162FE" w:rsidRDefault="00B56E6D">
            <w:r>
              <w:t>Oral</w:t>
            </w:r>
          </w:p>
        </w:tc>
      </w:tr>
      <w:tr w:rsidR="001162FE" w14:paraId="4355DEB2" w14:textId="77777777" w:rsidTr="001162FE">
        <w:tc>
          <w:tcPr>
            <w:tcW w:w="2689" w:type="dxa"/>
          </w:tcPr>
          <w:p w14:paraId="5E52411C" w14:textId="77777777" w:rsidR="001162FE" w:rsidRPr="0064385C" w:rsidRDefault="0064385C" w:rsidP="0064385C">
            <w:pPr>
              <w:rPr>
                <w:b/>
              </w:rPr>
            </w:pPr>
            <w:r>
              <w:rPr>
                <w:b/>
              </w:rPr>
              <w:t>Quantity to be given</w:t>
            </w:r>
          </w:p>
        </w:tc>
        <w:tc>
          <w:tcPr>
            <w:tcW w:w="8073" w:type="dxa"/>
          </w:tcPr>
          <w:p w14:paraId="1498C1F7" w14:textId="65D499E6" w:rsidR="001162FE" w:rsidRDefault="000173C3">
            <w:r>
              <w:t xml:space="preserve">4 weeks supply </w:t>
            </w:r>
            <w:r w:rsidR="003F0FF4">
              <w:t>(</w:t>
            </w:r>
            <w:proofErr w:type="gramStart"/>
            <w:r w:rsidR="003F0FF4">
              <w:t>i</w:t>
            </w:r>
            <w:r w:rsidR="00FC6F37">
              <w:t>.</w:t>
            </w:r>
            <w:r w:rsidR="003F0FF4">
              <w:t>e</w:t>
            </w:r>
            <w:r w:rsidR="00FC6F37">
              <w:t>.</w:t>
            </w:r>
            <w:proofErr w:type="gramEnd"/>
            <w:r w:rsidR="003F0FF4">
              <w:t xml:space="preserve"> 4 tablets)</w:t>
            </w:r>
          </w:p>
        </w:tc>
      </w:tr>
      <w:tr w:rsidR="001162FE" w14:paraId="660EA505" w14:textId="77777777" w:rsidTr="001162FE">
        <w:tc>
          <w:tcPr>
            <w:tcW w:w="2689" w:type="dxa"/>
          </w:tcPr>
          <w:p w14:paraId="504D34D2" w14:textId="77777777" w:rsidR="001162FE" w:rsidRPr="0064385C" w:rsidRDefault="00877CF2">
            <w:pPr>
              <w:rPr>
                <w:b/>
              </w:rPr>
            </w:pPr>
            <w:r w:rsidRPr="0064385C">
              <w:rPr>
                <w:b/>
              </w:rPr>
              <w:t>Contraindications</w:t>
            </w:r>
          </w:p>
        </w:tc>
        <w:tc>
          <w:tcPr>
            <w:tcW w:w="8073" w:type="dxa"/>
          </w:tcPr>
          <w:p w14:paraId="3EB59FDA" w14:textId="77777777" w:rsidR="001162FE" w:rsidRDefault="00CC624B">
            <w:r>
              <w:t>Avoid if Creatinine Clearance is &lt;35 ml/min</w:t>
            </w:r>
          </w:p>
          <w:p w14:paraId="343FAF03" w14:textId="77777777" w:rsidR="00CC624B" w:rsidRDefault="00CC624B">
            <w:r>
              <w:t>A</w:t>
            </w:r>
            <w:r w:rsidRPr="00CC624B">
              <w:t>bnormalities of oesophagus and other factors which delay emptying (</w:t>
            </w:r>
            <w:proofErr w:type="gramStart"/>
            <w:r w:rsidRPr="00CC624B">
              <w:t>e.g.</w:t>
            </w:r>
            <w:proofErr w:type="gramEnd"/>
            <w:r w:rsidRPr="00CC624B">
              <w:t xml:space="preserve"> stricture or achalasia)</w:t>
            </w:r>
          </w:p>
          <w:p w14:paraId="781D5F56" w14:textId="77777777" w:rsidR="00CC624B" w:rsidRDefault="00CC624B">
            <w:r>
              <w:t>H</w:t>
            </w:r>
            <w:r w:rsidRPr="00CC624B">
              <w:t>ypocalcaemia</w:t>
            </w:r>
          </w:p>
          <w:p w14:paraId="3CF0342E" w14:textId="4883F7F2" w:rsidR="005F6636" w:rsidRDefault="005F6636">
            <w:r>
              <w:t>Inability to stand or sit upright for 30 mins</w:t>
            </w:r>
          </w:p>
        </w:tc>
      </w:tr>
      <w:tr w:rsidR="001162FE" w14:paraId="4681E70C" w14:textId="77777777" w:rsidTr="00BD2021">
        <w:tc>
          <w:tcPr>
            <w:tcW w:w="2689" w:type="dxa"/>
            <w:tcBorders>
              <w:bottom w:val="single" w:sz="4" w:space="0" w:color="auto"/>
            </w:tcBorders>
          </w:tcPr>
          <w:p w14:paraId="5ADDA8A0" w14:textId="77777777" w:rsidR="001162FE" w:rsidRPr="0064385C" w:rsidRDefault="00877CF2">
            <w:pPr>
              <w:rPr>
                <w:b/>
              </w:rPr>
            </w:pPr>
            <w:r w:rsidRPr="0064385C">
              <w:rPr>
                <w:b/>
              </w:rPr>
              <w:t>Precautions</w:t>
            </w:r>
          </w:p>
        </w:tc>
        <w:tc>
          <w:tcPr>
            <w:tcW w:w="8073" w:type="dxa"/>
            <w:tcBorders>
              <w:bottom w:val="single" w:sz="4" w:space="0" w:color="auto"/>
            </w:tcBorders>
          </w:tcPr>
          <w:p w14:paraId="7CE7D96F" w14:textId="42D42EB6" w:rsidR="001162FE" w:rsidRDefault="007C72B4" w:rsidP="00730525">
            <w:pPr>
              <w:pStyle w:val="ListParagraph"/>
              <w:numPr>
                <w:ilvl w:val="0"/>
                <w:numId w:val="12"/>
              </w:numPr>
            </w:pPr>
            <w:r>
              <w:t>Previous upper gastrointestinal disorders (</w:t>
            </w:r>
            <w:proofErr w:type="spellStart"/>
            <w:proofErr w:type="gramStart"/>
            <w:r>
              <w:t>eg</w:t>
            </w:r>
            <w:proofErr w:type="spellEnd"/>
            <w:proofErr w:type="gramEnd"/>
            <w:r>
              <w:t xml:space="preserve"> u</w:t>
            </w:r>
            <w:r w:rsidR="00CC624B">
              <w:t xml:space="preserve">lcer, </w:t>
            </w:r>
            <w:r>
              <w:t>gastrointestinal</w:t>
            </w:r>
            <w:r w:rsidR="00CC624B">
              <w:t xml:space="preserve"> bleeding</w:t>
            </w:r>
            <w:r w:rsidR="00091D1B">
              <w:t>. Barret’s Oesophagus, significant or poorly controlled GORD, swallowing disorders</w:t>
            </w:r>
            <w:r>
              <w:t xml:space="preserve">) </w:t>
            </w:r>
            <w:r w:rsidR="00CC624B">
              <w:t>especially within the previous 12 months</w:t>
            </w:r>
          </w:p>
          <w:p w14:paraId="6110CBFD" w14:textId="41277B04" w:rsidR="00091D1B" w:rsidRDefault="00091D1B" w:rsidP="00730525">
            <w:pPr>
              <w:pStyle w:val="ListParagraph"/>
              <w:numPr>
                <w:ilvl w:val="0"/>
                <w:numId w:val="12"/>
              </w:numPr>
            </w:pPr>
            <w:r>
              <w:t>Concurrent use of</w:t>
            </w:r>
            <w:r w:rsidR="00CC337E">
              <w:t xml:space="preserve"> </w:t>
            </w:r>
            <w:r>
              <w:t>NSAIDs</w:t>
            </w:r>
            <w:r w:rsidR="00CC337E">
              <w:t xml:space="preserve"> as increased risk of gastrointestinal symptoms</w:t>
            </w:r>
          </w:p>
          <w:p w14:paraId="049AECFA" w14:textId="65F16C7F" w:rsidR="00CC624B" w:rsidRDefault="00CC624B" w:rsidP="00730525">
            <w:pPr>
              <w:pStyle w:val="ListParagraph"/>
              <w:numPr>
                <w:ilvl w:val="0"/>
                <w:numId w:val="12"/>
              </w:numPr>
            </w:pPr>
            <w:r>
              <w:t>Poor dental or oral hygiene</w:t>
            </w:r>
            <w:r w:rsidR="00091D1B">
              <w:t xml:space="preserve"> </w:t>
            </w:r>
            <w:r>
              <w:t>- consider dental check prior to in</w:t>
            </w:r>
            <w:r w:rsidR="00FC6F37">
              <w:t>i</w:t>
            </w:r>
            <w:r>
              <w:t>tiation</w:t>
            </w:r>
            <w:r w:rsidR="00091D1B">
              <w:t xml:space="preserve"> particularly if likely need for a tooth extraction or if additional </w:t>
            </w:r>
            <w:r w:rsidR="00DB69AF">
              <w:t>high-risk</w:t>
            </w:r>
            <w:r w:rsidR="00091D1B">
              <w:t xml:space="preserve"> factors: smoking, immunosuppression (including long term steroid use, diabetes), very old age &gt;80)</w:t>
            </w:r>
            <w:r w:rsidR="00A81455">
              <w:t>; counsel on seeking urgent review if painful lesion in the mouth</w:t>
            </w:r>
          </w:p>
        </w:tc>
      </w:tr>
      <w:tr w:rsidR="00373B3F" w:rsidRPr="00BD2021" w14:paraId="1B47251E" w14:textId="77777777" w:rsidTr="00BD2021">
        <w:tc>
          <w:tcPr>
            <w:tcW w:w="2689" w:type="dxa"/>
            <w:tcBorders>
              <w:right w:val="nil"/>
            </w:tcBorders>
          </w:tcPr>
          <w:p w14:paraId="4324E941" w14:textId="77777777" w:rsidR="00373B3F" w:rsidRPr="00BD2021" w:rsidRDefault="00373B3F" w:rsidP="00B122D3">
            <w:pPr>
              <w:rPr>
                <w:b/>
                <w:sz w:val="12"/>
                <w:szCs w:val="12"/>
              </w:rPr>
            </w:pPr>
          </w:p>
        </w:tc>
        <w:tc>
          <w:tcPr>
            <w:tcW w:w="8073" w:type="dxa"/>
            <w:tcBorders>
              <w:left w:val="nil"/>
            </w:tcBorders>
          </w:tcPr>
          <w:p w14:paraId="7A153961" w14:textId="77777777" w:rsidR="00373B3F" w:rsidRPr="00BD2021" w:rsidRDefault="00373B3F" w:rsidP="00B122D3">
            <w:pPr>
              <w:rPr>
                <w:sz w:val="12"/>
                <w:szCs w:val="12"/>
              </w:rPr>
            </w:pPr>
          </w:p>
        </w:tc>
      </w:tr>
      <w:tr w:rsidR="008C2A3F" w14:paraId="14A54422" w14:textId="77777777" w:rsidTr="001162FE">
        <w:tc>
          <w:tcPr>
            <w:tcW w:w="2689" w:type="dxa"/>
          </w:tcPr>
          <w:p w14:paraId="45E87199" w14:textId="77777777" w:rsidR="008C2A3F" w:rsidRPr="0064385C" w:rsidRDefault="008C2A3F" w:rsidP="008C2A3F">
            <w:pPr>
              <w:rPr>
                <w:b/>
              </w:rPr>
            </w:pPr>
            <w:r w:rsidRPr="0064385C">
              <w:rPr>
                <w:b/>
              </w:rPr>
              <w:t>Additional information</w:t>
            </w:r>
          </w:p>
        </w:tc>
        <w:tc>
          <w:tcPr>
            <w:tcW w:w="8073" w:type="dxa"/>
          </w:tcPr>
          <w:p w14:paraId="0FD311C3" w14:textId="3BFD07FF" w:rsidR="007C72B4" w:rsidRDefault="007C72B4" w:rsidP="003F0FF4">
            <w:pPr>
              <w:pStyle w:val="ListParagraph"/>
              <w:numPr>
                <w:ilvl w:val="0"/>
                <w:numId w:val="16"/>
              </w:numPr>
            </w:pPr>
            <w:r>
              <w:t xml:space="preserve">Provide a patient information leaflet (available from </w:t>
            </w:r>
            <w:hyperlink r:id="rId8" w:history="1">
              <w:r w:rsidRPr="00B650BF">
                <w:rPr>
                  <w:rStyle w:val="Hyperlink"/>
                </w:rPr>
                <w:t>www.nzf.org.nz</w:t>
              </w:r>
            </w:hyperlink>
            <w:r w:rsidR="00A81455">
              <w:t xml:space="preserve"> or </w:t>
            </w:r>
            <w:hyperlink r:id="rId9" w:history="1">
              <w:r w:rsidR="0054688E" w:rsidRPr="000A6985">
                <w:rPr>
                  <w:rStyle w:val="Hyperlink"/>
                </w:rPr>
                <w:t>https://www.healthnavigator.org.nz/medicines/a/alendronate/</w:t>
              </w:r>
            </w:hyperlink>
            <w:r w:rsidR="0054688E">
              <w:t xml:space="preserve"> </w:t>
            </w:r>
            <w:r w:rsidR="00A81455">
              <w:t>)</w:t>
            </w:r>
            <w:r>
              <w:t xml:space="preserve"> and highlight the following:</w:t>
            </w:r>
          </w:p>
          <w:p w14:paraId="74127A23" w14:textId="50DE1C6E" w:rsidR="007C72B4" w:rsidRDefault="007C72B4" w:rsidP="007C72B4">
            <w:pPr>
              <w:pStyle w:val="ListParagraph"/>
              <w:numPr>
                <w:ilvl w:val="0"/>
                <w:numId w:val="13"/>
              </w:numPr>
            </w:pPr>
            <w:r>
              <w:t>Take ONCE a week on the same day each week</w:t>
            </w:r>
          </w:p>
          <w:p w14:paraId="050FE8F0" w14:textId="5A9DD573" w:rsidR="007C72B4" w:rsidRDefault="007C72B4" w:rsidP="007C72B4">
            <w:pPr>
              <w:pStyle w:val="ListParagraph"/>
              <w:numPr>
                <w:ilvl w:val="0"/>
                <w:numId w:val="13"/>
              </w:numPr>
            </w:pPr>
            <w:r>
              <w:lastRenderedPageBreak/>
              <w:t>Take on an empty stomach at least 30 minutes before breakfast (or another oral medicine).</w:t>
            </w:r>
          </w:p>
          <w:p w14:paraId="019A386C" w14:textId="1AC304B0" w:rsidR="007C72B4" w:rsidRDefault="007C72B4" w:rsidP="007C72B4">
            <w:pPr>
              <w:pStyle w:val="ListParagraph"/>
              <w:numPr>
                <w:ilvl w:val="0"/>
                <w:numId w:val="13"/>
              </w:numPr>
            </w:pPr>
            <w:r>
              <w:t>Swallow whole with plenty of water while sitting or standing and stand or sit upright for at least 30 minutes after taking the tablet.</w:t>
            </w:r>
          </w:p>
          <w:p w14:paraId="670799C5" w14:textId="7E0201B6" w:rsidR="003F0FF4" w:rsidRDefault="003F0FF4" w:rsidP="007C72B4">
            <w:pPr>
              <w:pStyle w:val="ListParagraph"/>
              <w:numPr>
                <w:ilvl w:val="0"/>
                <w:numId w:val="13"/>
              </w:numPr>
            </w:pPr>
            <w:r>
              <w:t xml:space="preserve">Patient is aware that this medication is a </w:t>
            </w:r>
            <w:r w:rsidR="00CC337E">
              <w:t>long-term</w:t>
            </w:r>
            <w:r>
              <w:t xml:space="preserve"> medication and that they need to see their primary care clinician for further supplies. </w:t>
            </w:r>
          </w:p>
          <w:p w14:paraId="26597262" w14:textId="77777777" w:rsidR="007C72B4" w:rsidRDefault="007C72B4" w:rsidP="008C2A3F"/>
          <w:p w14:paraId="53DE97D8" w14:textId="71404D9E" w:rsidR="008C2A3F" w:rsidRDefault="00CC624B" w:rsidP="003F0FF4">
            <w:pPr>
              <w:pStyle w:val="ListParagraph"/>
              <w:numPr>
                <w:ilvl w:val="0"/>
                <w:numId w:val="15"/>
              </w:numPr>
            </w:pPr>
            <w:r w:rsidRPr="00CC624B">
              <w:t xml:space="preserve">Ensure the </w:t>
            </w:r>
            <w:r>
              <w:t xml:space="preserve">patient has adequate dietary calcium. </w:t>
            </w:r>
            <w:proofErr w:type="spellStart"/>
            <w:r>
              <w:t>E.g</w:t>
            </w:r>
            <w:proofErr w:type="spellEnd"/>
            <w:r>
              <w:t xml:space="preserve"> 2-3 serves per day.</w:t>
            </w:r>
            <w:r w:rsidR="00A81455">
              <w:t xml:space="preserve"> Provide </w:t>
            </w:r>
            <w:r w:rsidR="00D87FA7">
              <w:t>leaflet from</w:t>
            </w:r>
            <w:r w:rsidR="00A81455">
              <w:t xml:space="preserve"> </w:t>
            </w:r>
            <w:hyperlink r:id="rId10" w:history="1">
              <w:r w:rsidR="0054688E" w:rsidRPr="000A6985">
                <w:rPr>
                  <w:rStyle w:val="Hyperlink"/>
                </w:rPr>
                <w:t>https://www.healthinfo.org.nz/patientinfo/29946.pdf</w:t>
              </w:r>
            </w:hyperlink>
            <w:r w:rsidR="0054688E">
              <w:t xml:space="preserve"> </w:t>
            </w:r>
          </w:p>
          <w:p w14:paraId="307B0CF3" w14:textId="77777777" w:rsidR="003F0FF4" w:rsidRDefault="003F0FF4" w:rsidP="003F0FF4">
            <w:pPr>
              <w:pStyle w:val="ListParagraph"/>
            </w:pPr>
          </w:p>
          <w:p w14:paraId="015AD4E0" w14:textId="1090B834" w:rsidR="00CC624B" w:rsidRPr="00512CA1" w:rsidRDefault="003F0FF4" w:rsidP="003F0FF4">
            <w:pPr>
              <w:pStyle w:val="ListParagraph"/>
              <w:numPr>
                <w:ilvl w:val="0"/>
                <w:numId w:val="15"/>
              </w:numPr>
            </w:pPr>
            <w:r w:rsidRPr="003F0FF4">
              <w:t>The dose of vitamin D in this preparation is not sufficient to treat vitamin D deficiency</w:t>
            </w:r>
          </w:p>
        </w:tc>
      </w:tr>
      <w:tr w:rsidR="008C2A3F" w14:paraId="53F1773B" w14:textId="77777777" w:rsidTr="001162FE">
        <w:tc>
          <w:tcPr>
            <w:tcW w:w="2689" w:type="dxa"/>
          </w:tcPr>
          <w:p w14:paraId="23338D05" w14:textId="77777777" w:rsidR="008C2A3F" w:rsidRPr="0064385C" w:rsidRDefault="008C2A3F" w:rsidP="008C2A3F">
            <w:pPr>
              <w:rPr>
                <w:b/>
              </w:rPr>
            </w:pPr>
            <w:r w:rsidRPr="0064385C">
              <w:rPr>
                <w:b/>
              </w:rPr>
              <w:lastRenderedPageBreak/>
              <w:t>Follow-up</w:t>
            </w:r>
          </w:p>
        </w:tc>
        <w:tc>
          <w:tcPr>
            <w:tcW w:w="8073" w:type="dxa"/>
          </w:tcPr>
          <w:p w14:paraId="0BB5AE6E" w14:textId="2E08AB0A" w:rsidR="008C2A3F" w:rsidRPr="00CC337E" w:rsidRDefault="00A81455" w:rsidP="008C2A3F">
            <w:r>
              <w:t>Provide formal handover of</w:t>
            </w:r>
            <w:r w:rsidR="00CC624B">
              <w:t xml:space="preserve"> patient</w:t>
            </w:r>
            <w:r>
              <w:t xml:space="preserve"> to their</w:t>
            </w:r>
            <w:r w:rsidR="00CC624B">
              <w:t xml:space="preserve"> primary care clinician</w:t>
            </w:r>
            <w:r>
              <w:t>,</w:t>
            </w:r>
            <w:r w:rsidR="00CC624B">
              <w:t xml:space="preserve"> informed</w:t>
            </w:r>
            <w:r>
              <w:t xml:space="preserve"> them</w:t>
            </w:r>
            <w:r w:rsidR="00CC624B">
              <w:t xml:space="preserve"> </w:t>
            </w:r>
            <w:r w:rsidR="003F0FF4">
              <w:t>that</w:t>
            </w:r>
            <w:r w:rsidR="00CC624B">
              <w:t xml:space="preserve"> a bisphosphonate with vitamin D has been started and </w:t>
            </w:r>
            <w:r w:rsidR="007C72B4">
              <w:t>quantity supplied</w:t>
            </w:r>
            <w:r>
              <w:t xml:space="preserve"> and make sure they have a formal consult date set within 4 weeks to be reviewed</w:t>
            </w:r>
          </w:p>
        </w:tc>
      </w:tr>
      <w:tr w:rsidR="0070113B" w14:paraId="023ADBA8" w14:textId="77777777" w:rsidTr="001162FE">
        <w:tc>
          <w:tcPr>
            <w:tcW w:w="2689" w:type="dxa"/>
          </w:tcPr>
          <w:p w14:paraId="7177FCA4" w14:textId="77777777" w:rsidR="0070113B" w:rsidRPr="0064385C" w:rsidRDefault="0070113B" w:rsidP="0070113B">
            <w:pPr>
              <w:rPr>
                <w:b/>
              </w:rPr>
            </w:pPr>
            <w:r w:rsidRPr="0064385C">
              <w:rPr>
                <w:b/>
              </w:rPr>
              <w:t>Countersigning and auditing</w:t>
            </w:r>
          </w:p>
        </w:tc>
        <w:tc>
          <w:tcPr>
            <w:tcW w:w="8073" w:type="dxa"/>
          </w:tcPr>
          <w:p w14:paraId="23241ECF" w14:textId="77777777" w:rsidR="0070113B" w:rsidRDefault="0070113B" w:rsidP="0070113B">
            <w:r>
              <w:t>Countersigning is not required. Audited monthly.</w:t>
            </w:r>
          </w:p>
          <w:p w14:paraId="3BBEAF29" w14:textId="77777777" w:rsidR="0070113B" w:rsidRPr="0070113B" w:rsidRDefault="0070113B" w:rsidP="0070113B">
            <w:pPr>
              <w:rPr>
                <w:b/>
              </w:rPr>
            </w:pPr>
            <w:r w:rsidRPr="0070113B">
              <w:rPr>
                <w:b/>
              </w:rPr>
              <w:t xml:space="preserve">OR </w:t>
            </w:r>
          </w:p>
          <w:p w14:paraId="1D528812" w14:textId="77777777" w:rsidR="0070113B" w:rsidRDefault="0070113B" w:rsidP="0070113B">
            <w:r>
              <w:t xml:space="preserve">Countersigning is required within </w:t>
            </w:r>
            <w:r w:rsidRPr="00070579">
              <w:rPr>
                <w:b/>
                <w:i/>
              </w:rPr>
              <w:t>XX</w:t>
            </w:r>
            <w:r>
              <w:t xml:space="preserve"> days</w:t>
            </w:r>
          </w:p>
        </w:tc>
      </w:tr>
      <w:tr w:rsidR="0070113B" w14:paraId="27D37D96" w14:textId="77777777" w:rsidTr="001162FE">
        <w:tc>
          <w:tcPr>
            <w:tcW w:w="2689" w:type="dxa"/>
          </w:tcPr>
          <w:p w14:paraId="27096997" w14:textId="77777777" w:rsidR="0070113B" w:rsidRPr="0064385C" w:rsidRDefault="0070113B" w:rsidP="0070113B">
            <w:pPr>
              <w:rPr>
                <w:b/>
              </w:rPr>
            </w:pPr>
            <w:r w:rsidRPr="0064385C">
              <w:rPr>
                <w:b/>
              </w:rPr>
              <w:t>Competency/training requirements</w:t>
            </w:r>
          </w:p>
        </w:tc>
        <w:tc>
          <w:tcPr>
            <w:tcW w:w="8073" w:type="dxa"/>
          </w:tcPr>
          <w:p w14:paraId="2F248A1E" w14:textId="0089E685" w:rsidR="0070113B" w:rsidRDefault="0070113B" w:rsidP="0070113B">
            <w:r>
              <w:t xml:space="preserve">All </w:t>
            </w:r>
            <w:r w:rsidR="000173C3">
              <w:t>registered Health Professionals</w:t>
            </w:r>
            <w:r>
              <w:t xml:space="preserve"> working under this standing order must be signed off as competent to do so by the issuer and have had specific training in this standing order.</w:t>
            </w:r>
          </w:p>
        </w:tc>
      </w:tr>
      <w:tr w:rsidR="0070113B" w14:paraId="2F9E145C" w14:textId="77777777" w:rsidTr="001162FE">
        <w:tc>
          <w:tcPr>
            <w:tcW w:w="2689" w:type="dxa"/>
          </w:tcPr>
          <w:p w14:paraId="7785B16A" w14:textId="77777777" w:rsidR="0070113B" w:rsidRPr="0064385C" w:rsidRDefault="0070113B" w:rsidP="0070113B">
            <w:pPr>
              <w:rPr>
                <w:b/>
              </w:rPr>
            </w:pPr>
            <w:r w:rsidRPr="0064385C">
              <w:rPr>
                <w:b/>
              </w:rPr>
              <w:t>Supporting documentation</w:t>
            </w:r>
          </w:p>
        </w:tc>
        <w:tc>
          <w:tcPr>
            <w:tcW w:w="8073" w:type="dxa"/>
          </w:tcPr>
          <w:p w14:paraId="5EF42C1D" w14:textId="77777777" w:rsidR="00476AA6" w:rsidRDefault="00476AA6" w:rsidP="00476AA6">
            <w:proofErr w:type="spellStart"/>
            <w:r>
              <w:t>Healthpathways</w:t>
            </w:r>
            <w:proofErr w:type="spellEnd"/>
            <w:r>
              <w:t xml:space="preserve"> at </w:t>
            </w:r>
            <w:hyperlink r:id="rId11" w:history="1">
              <w:r w:rsidRPr="00254A91">
                <w:rPr>
                  <w:rStyle w:val="Hyperlink"/>
                </w:rPr>
                <w:t>www.healthpathways.org.nz</w:t>
              </w:r>
            </w:hyperlink>
            <w:r>
              <w:t xml:space="preserve"> </w:t>
            </w:r>
          </w:p>
          <w:p w14:paraId="584D3112" w14:textId="77777777" w:rsidR="00476AA6" w:rsidRDefault="00476AA6" w:rsidP="00476AA6">
            <w:r>
              <w:t xml:space="preserve">Best Practice Journal at </w:t>
            </w:r>
            <w:hyperlink r:id="rId12" w:history="1">
              <w:r w:rsidRPr="00254A91">
                <w:rPr>
                  <w:rStyle w:val="Hyperlink"/>
                </w:rPr>
                <w:t>www.bpac.org.nz</w:t>
              </w:r>
            </w:hyperlink>
            <w:r>
              <w:t xml:space="preserve"> </w:t>
            </w:r>
          </w:p>
          <w:p w14:paraId="246065E5" w14:textId="77777777" w:rsidR="00476AA6" w:rsidRDefault="00476AA6" w:rsidP="00476AA6">
            <w:r>
              <w:t xml:space="preserve">New Zealand Formulary at </w:t>
            </w:r>
            <w:hyperlink r:id="rId13" w:history="1">
              <w:r w:rsidRPr="00254A91">
                <w:rPr>
                  <w:rStyle w:val="Hyperlink"/>
                </w:rPr>
                <w:t>www.nzf.org.nz</w:t>
              </w:r>
            </w:hyperlink>
            <w:r>
              <w:t xml:space="preserve"> </w:t>
            </w:r>
          </w:p>
          <w:p w14:paraId="2131BA51" w14:textId="77777777" w:rsidR="00476AA6" w:rsidRDefault="00476AA6" w:rsidP="00476AA6">
            <w:r>
              <w:t xml:space="preserve">Individual medicine data sheets at </w:t>
            </w:r>
            <w:hyperlink r:id="rId14" w:history="1">
              <w:r w:rsidRPr="00254A91">
                <w:rPr>
                  <w:rStyle w:val="Hyperlink"/>
                </w:rPr>
                <w:t>www.medsafe.govt.nz</w:t>
              </w:r>
            </w:hyperlink>
            <w:r>
              <w:t xml:space="preserve"> </w:t>
            </w:r>
          </w:p>
          <w:p w14:paraId="72F6D870" w14:textId="77777777" w:rsidR="005216BC" w:rsidRDefault="00476AA6" w:rsidP="0070113B">
            <w:r>
              <w:t>Standing Order Guidelines, Ministry of Health, 2012</w:t>
            </w:r>
          </w:p>
          <w:p w14:paraId="0BC56AC7" w14:textId="047AC67F" w:rsidR="00E35B57" w:rsidRDefault="009028E3" w:rsidP="0070113B">
            <w:r>
              <w:t>Medicines (Standing Order) Regulations 2012 (Standing Order Regulations)</w:t>
            </w:r>
          </w:p>
        </w:tc>
      </w:tr>
      <w:tr w:rsidR="0070113B" w14:paraId="07C8EC84" w14:textId="77777777" w:rsidTr="001162FE">
        <w:tc>
          <w:tcPr>
            <w:tcW w:w="2689" w:type="dxa"/>
          </w:tcPr>
          <w:p w14:paraId="5E7FCC83" w14:textId="77777777" w:rsidR="0070113B" w:rsidRPr="0064385C" w:rsidRDefault="0070113B" w:rsidP="0070113B">
            <w:pPr>
              <w:rPr>
                <w:b/>
              </w:rPr>
            </w:pPr>
            <w:r w:rsidRPr="0064385C">
              <w:rPr>
                <w:b/>
              </w:rPr>
              <w:t>Definition of terms used in standing order</w:t>
            </w:r>
          </w:p>
        </w:tc>
        <w:tc>
          <w:tcPr>
            <w:tcW w:w="8073" w:type="dxa"/>
          </w:tcPr>
          <w:p w14:paraId="3EDCEA0D" w14:textId="53AACA35" w:rsidR="0070113B" w:rsidRDefault="003F0FF4" w:rsidP="0070113B">
            <w:r>
              <w:t>Creatinine Clearance formula</w:t>
            </w:r>
            <w:r w:rsidR="00DB69AF">
              <w:t xml:space="preserve"> using </w:t>
            </w:r>
            <w:proofErr w:type="spellStart"/>
            <w:r w:rsidR="00DB69AF" w:rsidRPr="00DB69AF">
              <w:t>Cockroft</w:t>
            </w:r>
            <w:proofErr w:type="spellEnd"/>
            <w:r w:rsidR="00DB69AF" w:rsidRPr="00DB69AF">
              <w:t>-Gault calculator (MD-Calc)</w:t>
            </w:r>
          </w:p>
          <w:p w14:paraId="4A44C817" w14:textId="04C69298" w:rsidR="003F0FF4" w:rsidRDefault="003537D3" w:rsidP="0070113B">
            <w:r>
              <w:t>{[140-age (y</w:t>
            </w:r>
            <w:r w:rsidR="00FC6F37">
              <w:t>ea</w:t>
            </w:r>
            <w:r>
              <w:t xml:space="preserve">rs)] x weight (kg)} / serum creatinine x </w:t>
            </w:r>
            <w:r w:rsidR="00FC6F37">
              <w:t>F</w:t>
            </w:r>
          </w:p>
          <w:p w14:paraId="545CC6C6" w14:textId="77777777" w:rsidR="00FC6F37" w:rsidRDefault="00FC6F37" w:rsidP="0070113B">
            <w:r>
              <w:t>F = 1.04 for females or 1.23 for males</w:t>
            </w:r>
          </w:p>
          <w:p w14:paraId="67D5952E" w14:textId="594859EA" w:rsidR="0054688E" w:rsidRDefault="0054688E" w:rsidP="0070113B">
            <w:r>
              <w:t xml:space="preserve">Or refer to </w:t>
            </w:r>
            <w:hyperlink r:id="rId15" w:history="1">
              <w:r w:rsidRPr="000A6985">
                <w:rPr>
                  <w:rStyle w:val="Hyperlink"/>
                </w:rPr>
                <w:t>https://www.mdcalc.com/creatinine-clearance-cockcroft-gault-equation</w:t>
              </w:r>
            </w:hyperlink>
            <w:r>
              <w:t xml:space="preserve"> </w:t>
            </w:r>
          </w:p>
        </w:tc>
      </w:tr>
    </w:tbl>
    <w:p w14:paraId="505FBAAA" w14:textId="1D96654B" w:rsidR="008C2A3F" w:rsidRDefault="000173C3" w:rsidP="00CC337E">
      <w:pPr>
        <w:tabs>
          <w:tab w:val="left" w:pos="1860"/>
        </w:tabs>
      </w:pPr>
      <w:r>
        <w:tab/>
      </w:r>
    </w:p>
    <w:tbl>
      <w:tblPr>
        <w:tblStyle w:val="TableGrid"/>
        <w:tblW w:w="0" w:type="auto"/>
        <w:tblLook w:val="04A0" w:firstRow="1" w:lastRow="0" w:firstColumn="1" w:lastColumn="0" w:noHBand="0" w:noVBand="1"/>
      </w:tblPr>
      <w:tblGrid>
        <w:gridCol w:w="3539"/>
      </w:tblGrid>
      <w:tr w:rsidR="003F0FF4" w14:paraId="426FAD5B" w14:textId="77777777" w:rsidTr="003F0FF4">
        <w:tc>
          <w:tcPr>
            <w:tcW w:w="3539" w:type="dxa"/>
          </w:tcPr>
          <w:p w14:paraId="0388F470" w14:textId="11D98B5C" w:rsidR="003F0FF4" w:rsidRPr="0064385C" w:rsidRDefault="003F0FF4" w:rsidP="00B122D3">
            <w:pPr>
              <w:rPr>
                <w:b/>
              </w:rPr>
            </w:pPr>
            <w:r>
              <w:rPr>
                <w:b/>
              </w:rPr>
              <w:t>WellSouth Falls Liaison Service</w:t>
            </w:r>
          </w:p>
        </w:tc>
      </w:tr>
    </w:tbl>
    <w:p w14:paraId="515A47BC" w14:textId="77777777" w:rsidR="001162FE" w:rsidRPr="00512CA1" w:rsidRDefault="001162FE">
      <w:pPr>
        <w:rPr>
          <w:sz w:val="12"/>
          <w:szCs w:val="12"/>
        </w:rPr>
      </w:pPr>
    </w:p>
    <w:tbl>
      <w:tblPr>
        <w:tblStyle w:val="TableGrid"/>
        <w:tblW w:w="0" w:type="auto"/>
        <w:tblLook w:val="04A0" w:firstRow="1" w:lastRow="0" w:firstColumn="1" w:lastColumn="0" w:noHBand="0" w:noVBand="1"/>
      </w:tblPr>
      <w:tblGrid>
        <w:gridCol w:w="2122"/>
      </w:tblGrid>
      <w:tr w:rsidR="001162FE" w14:paraId="11CA9F21" w14:textId="77777777" w:rsidTr="00877CF2">
        <w:tc>
          <w:tcPr>
            <w:tcW w:w="2122" w:type="dxa"/>
          </w:tcPr>
          <w:p w14:paraId="0F7EE2AC" w14:textId="65E8635D" w:rsidR="001162FE" w:rsidRPr="0064385C" w:rsidRDefault="00877CF2">
            <w:pPr>
              <w:rPr>
                <w:b/>
              </w:rPr>
            </w:pPr>
            <w:r w:rsidRPr="0064385C">
              <w:rPr>
                <w:b/>
              </w:rPr>
              <w:t>Signed by issuer</w:t>
            </w:r>
          </w:p>
        </w:tc>
      </w:tr>
    </w:tbl>
    <w:p w14:paraId="3F1D74A2" w14:textId="77777777" w:rsidR="00512CA1" w:rsidRPr="00512CA1" w:rsidRDefault="00512CA1">
      <w:pPr>
        <w:rPr>
          <w:sz w:val="16"/>
          <w:szCs w:val="16"/>
        </w:rPr>
      </w:pPr>
    </w:p>
    <w:p w14:paraId="3EA4F8BB" w14:textId="203F7FFB" w:rsidR="001162FE" w:rsidRDefault="001162FE">
      <w:r>
        <w:t>Name:</w:t>
      </w:r>
      <w:r>
        <w:tab/>
        <w:t>____________________________</w:t>
      </w:r>
      <w:r>
        <w:tab/>
      </w:r>
      <w:r>
        <w:tab/>
        <w:t>Signature: __________________________</w:t>
      </w:r>
    </w:p>
    <w:p w14:paraId="59E6FD9E" w14:textId="77777777" w:rsidR="001162FE" w:rsidRDefault="001162FE">
      <w:r>
        <w:t>Title:</w:t>
      </w:r>
      <w:r>
        <w:tab/>
        <w:t>____________________________</w:t>
      </w:r>
      <w:r>
        <w:tab/>
      </w:r>
      <w:r>
        <w:tab/>
        <w:t>Date: _________________</w:t>
      </w:r>
    </w:p>
    <w:tbl>
      <w:tblPr>
        <w:tblStyle w:val="TableGrid"/>
        <w:tblW w:w="0" w:type="auto"/>
        <w:tblLook w:val="04A0" w:firstRow="1" w:lastRow="0" w:firstColumn="1" w:lastColumn="0" w:noHBand="0" w:noVBand="1"/>
      </w:tblPr>
      <w:tblGrid>
        <w:gridCol w:w="6658"/>
      </w:tblGrid>
      <w:tr w:rsidR="001162FE" w14:paraId="454888CE" w14:textId="77777777" w:rsidTr="003F0FF4">
        <w:trPr>
          <w:trHeight w:val="123"/>
        </w:trPr>
        <w:tc>
          <w:tcPr>
            <w:tcW w:w="6658" w:type="dxa"/>
          </w:tcPr>
          <w:p w14:paraId="0D9C6E84" w14:textId="40E0271B" w:rsidR="001162FE" w:rsidRPr="0064385C" w:rsidRDefault="003F0FF4">
            <w:pPr>
              <w:rPr>
                <w:b/>
              </w:rPr>
            </w:pPr>
            <w:r>
              <w:rPr>
                <w:b/>
              </w:rPr>
              <w:t xml:space="preserve">Registered Health Professionals </w:t>
            </w:r>
            <w:r w:rsidR="001162FE" w:rsidRPr="0064385C">
              <w:rPr>
                <w:b/>
              </w:rPr>
              <w:t>operating under this standing order</w:t>
            </w:r>
          </w:p>
        </w:tc>
      </w:tr>
    </w:tbl>
    <w:p w14:paraId="0AB53249" w14:textId="77777777" w:rsidR="001162FE" w:rsidRPr="00512CA1" w:rsidRDefault="001162FE">
      <w:pPr>
        <w:rPr>
          <w:sz w:val="14"/>
          <w:szCs w:val="14"/>
        </w:rPr>
      </w:pPr>
    </w:p>
    <w:p w14:paraId="6456E020" w14:textId="3C0FB749" w:rsidR="0064385C" w:rsidRDefault="0064385C" w:rsidP="0064385C">
      <w:r>
        <w:t xml:space="preserve">Only Registered </w:t>
      </w:r>
      <w:r w:rsidR="003F0FF4">
        <w:t xml:space="preserve">Health Professionals </w:t>
      </w:r>
      <w:r>
        <w:t xml:space="preserve">working within the above </w:t>
      </w:r>
      <w:r w:rsidR="003F0FF4">
        <w:t xml:space="preserve">WellSouth </w:t>
      </w:r>
      <w:r w:rsidR="002E1BED">
        <w:t>Fracture</w:t>
      </w:r>
      <w:r w:rsidR="003F0FF4">
        <w:t xml:space="preserve"> Liaison Service</w:t>
      </w:r>
      <w:r>
        <w:t xml:space="preserve"> are authorised to administer medication under this standing order. </w:t>
      </w:r>
    </w:p>
    <w:p w14:paraId="1EE2A6A2" w14:textId="52A50862" w:rsidR="001162FE" w:rsidRDefault="001162FE">
      <w:r>
        <w:t xml:space="preserve">We the undersigned agree that we have read, </w:t>
      </w:r>
      <w:proofErr w:type="gramStart"/>
      <w:r>
        <w:t>understood</w:t>
      </w:r>
      <w:proofErr w:type="gramEnd"/>
      <w:r>
        <w:t xml:space="preserve"> and will comply with this standing order and all associated documents.</w:t>
      </w:r>
    </w:p>
    <w:p w14:paraId="781F4AB9" w14:textId="77777777" w:rsidR="001162FE" w:rsidRDefault="001162FE">
      <w:r>
        <w:t>Name: ______________________   Signature: _________________________</w:t>
      </w:r>
      <w:proofErr w:type="gramStart"/>
      <w:r>
        <w:t>_  Date</w:t>
      </w:r>
      <w:proofErr w:type="gramEnd"/>
      <w:r>
        <w:t>: ______________</w:t>
      </w:r>
    </w:p>
    <w:p w14:paraId="63828C0C" w14:textId="77777777" w:rsidR="001162FE" w:rsidRDefault="001162FE" w:rsidP="001162FE">
      <w:r>
        <w:t>Name: ______________________   Signature: __________________________  Date: ______________</w:t>
      </w:r>
    </w:p>
    <w:p w14:paraId="2243977B" w14:textId="77777777" w:rsidR="001162FE" w:rsidRDefault="001162FE" w:rsidP="001162FE">
      <w:r>
        <w:t>Name: ______________________   Signature: __________________________  Date: ______________</w:t>
      </w:r>
    </w:p>
    <w:p w14:paraId="31B85B18" w14:textId="1E3A8001" w:rsidR="001162FE" w:rsidRDefault="001162FE">
      <w:r>
        <w:t>Name: ______________________   Signature: _________________________</w:t>
      </w:r>
      <w:proofErr w:type="gramStart"/>
      <w:r>
        <w:t>_  Date</w:t>
      </w:r>
      <w:proofErr w:type="gramEnd"/>
      <w:r>
        <w:t>: ______________</w:t>
      </w:r>
    </w:p>
    <w:sectPr w:rsidR="001162FE" w:rsidSect="00D270A8">
      <w:footerReference w:type="default" r:id="rId16"/>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39AF9" w14:textId="77777777" w:rsidR="00C47737" w:rsidRDefault="00C47737" w:rsidP="009028E3">
      <w:pPr>
        <w:spacing w:after="0" w:line="240" w:lineRule="auto"/>
      </w:pPr>
      <w:r>
        <w:separator/>
      </w:r>
    </w:p>
  </w:endnote>
  <w:endnote w:type="continuationSeparator" w:id="0">
    <w:p w14:paraId="1FB88FD7" w14:textId="77777777" w:rsidR="00C47737" w:rsidRDefault="00C47737" w:rsidP="00902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442CC" w14:textId="750429C7" w:rsidR="00E13584" w:rsidRDefault="000173C3">
    <w:pPr>
      <w:pStyle w:val="Footer"/>
    </w:pPr>
    <w:r>
      <w:t>Bisphosphonate</w:t>
    </w:r>
    <w:r w:rsidR="00E13584">
      <w:t xml:space="preserve"> Standing Order</w:t>
    </w:r>
    <w:r w:rsidR="00E13584">
      <w:tab/>
    </w:r>
    <w:r w:rsidR="0054688E">
      <w:t>August</w:t>
    </w:r>
    <w:r>
      <w:t xml:space="preserve"> 2021</w:t>
    </w:r>
    <w:r w:rsidR="00E13584">
      <w:tab/>
      <w:t xml:space="preserve">WellSouth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91D26" w14:textId="77777777" w:rsidR="00C47737" w:rsidRDefault="00C47737" w:rsidP="009028E3">
      <w:pPr>
        <w:spacing w:after="0" w:line="240" w:lineRule="auto"/>
      </w:pPr>
      <w:r>
        <w:separator/>
      </w:r>
    </w:p>
  </w:footnote>
  <w:footnote w:type="continuationSeparator" w:id="0">
    <w:p w14:paraId="2BBE6E23" w14:textId="77777777" w:rsidR="00C47737" w:rsidRDefault="00C47737" w:rsidP="009028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D4BEF"/>
    <w:multiLevelType w:val="hybridMultilevel"/>
    <w:tmpl w:val="BE7AC2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03C103A"/>
    <w:multiLevelType w:val="hybridMultilevel"/>
    <w:tmpl w:val="986E4812"/>
    <w:lvl w:ilvl="0" w:tplc="19D4245A">
      <w:numFmt w:val="bullet"/>
      <w:lvlText w:val="•"/>
      <w:lvlJc w:val="left"/>
      <w:pPr>
        <w:ind w:left="1080" w:hanging="72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7220A3"/>
    <w:multiLevelType w:val="hybridMultilevel"/>
    <w:tmpl w:val="7A8A85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5DF4932"/>
    <w:multiLevelType w:val="hybridMultilevel"/>
    <w:tmpl w:val="7788047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84C5D9E"/>
    <w:multiLevelType w:val="hybridMultilevel"/>
    <w:tmpl w:val="C62AB43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A37566A"/>
    <w:multiLevelType w:val="hybridMultilevel"/>
    <w:tmpl w:val="DB6C4A4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19C6B65"/>
    <w:multiLevelType w:val="hybridMultilevel"/>
    <w:tmpl w:val="86EEDFF8"/>
    <w:lvl w:ilvl="0" w:tplc="19D4245A">
      <w:numFmt w:val="bullet"/>
      <w:lvlText w:val="•"/>
      <w:lvlJc w:val="left"/>
      <w:pPr>
        <w:ind w:left="1080" w:hanging="72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2D7690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5DB13A6"/>
    <w:multiLevelType w:val="hybridMultilevel"/>
    <w:tmpl w:val="1158C1B4"/>
    <w:lvl w:ilvl="0" w:tplc="19D4245A">
      <w:numFmt w:val="bullet"/>
      <w:lvlText w:val="•"/>
      <w:lvlJc w:val="left"/>
      <w:pPr>
        <w:ind w:left="1080" w:hanging="720"/>
      </w:pPr>
      <w:rPr>
        <w:rFonts w:ascii="Calibri" w:eastAsiaTheme="minorHAnsi" w:hAnsi="Calibri"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8F2286D"/>
    <w:multiLevelType w:val="hybridMultilevel"/>
    <w:tmpl w:val="12325ACA"/>
    <w:lvl w:ilvl="0" w:tplc="19D4245A">
      <w:numFmt w:val="bullet"/>
      <w:lvlText w:val="•"/>
      <w:lvlJc w:val="left"/>
      <w:pPr>
        <w:ind w:left="1080" w:hanging="72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FB0398C"/>
    <w:multiLevelType w:val="hybridMultilevel"/>
    <w:tmpl w:val="D95638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08350C7"/>
    <w:multiLevelType w:val="hybridMultilevel"/>
    <w:tmpl w:val="317E3CC0"/>
    <w:lvl w:ilvl="0" w:tplc="19D4245A">
      <w:numFmt w:val="bullet"/>
      <w:lvlText w:val="•"/>
      <w:lvlJc w:val="left"/>
      <w:pPr>
        <w:ind w:left="1080" w:hanging="72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99C560A"/>
    <w:multiLevelType w:val="hybridMultilevel"/>
    <w:tmpl w:val="8B7ECD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4A94DA7"/>
    <w:multiLevelType w:val="multilevel"/>
    <w:tmpl w:val="8FA642C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A97891"/>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B6A5EA5"/>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5"/>
  </w:num>
  <w:num w:numId="3">
    <w:abstractNumId w:val="7"/>
  </w:num>
  <w:num w:numId="4">
    <w:abstractNumId w:val="0"/>
  </w:num>
  <w:num w:numId="5">
    <w:abstractNumId w:val="8"/>
  </w:num>
  <w:num w:numId="6">
    <w:abstractNumId w:val="14"/>
  </w:num>
  <w:num w:numId="7">
    <w:abstractNumId w:val="11"/>
  </w:num>
  <w:num w:numId="8">
    <w:abstractNumId w:val="13"/>
  </w:num>
  <w:num w:numId="9">
    <w:abstractNumId w:val="9"/>
  </w:num>
  <w:num w:numId="10">
    <w:abstractNumId w:val="10"/>
  </w:num>
  <w:num w:numId="11">
    <w:abstractNumId w:val="1"/>
  </w:num>
  <w:num w:numId="12">
    <w:abstractNumId w:val="6"/>
  </w:num>
  <w:num w:numId="13">
    <w:abstractNumId w:val="2"/>
  </w:num>
  <w:num w:numId="14">
    <w:abstractNumId w:val="5"/>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A8"/>
    <w:rsid w:val="000173C3"/>
    <w:rsid w:val="00044DF1"/>
    <w:rsid w:val="0007574E"/>
    <w:rsid w:val="00091D1B"/>
    <w:rsid w:val="000E47A6"/>
    <w:rsid w:val="001162FE"/>
    <w:rsid w:val="00123A68"/>
    <w:rsid w:val="001375D7"/>
    <w:rsid w:val="00142241"/>
    <w:rsid w:val="002040DF"/>
    <w:rsid w:val="002764B7"/>
    <w:rsid w:val="002E03C7"/>
    <w:rsid w:val="002E1BED"/>
    <w:rsid w:val="002E6858"/>
    <w:rsid w:val="003537D3"/>
    <w:rsid w:val="00373B3F"/>
    <w:rsid w:val="003F0FF4"/>
    <w:rsid w:val="00473CD8"/>
    <w:rsid w:val="00476AA6"/>
    <w:rsid w:val="004C18D9"/>
    <w:rsid w:val="00502695"/>
    <w:rsid w:val="00512CA1"/>
    <w:rsid w:val="00513681"/>
    <w:rsid w:val="005216BC"/>
    <w:rsid w:val="0054688E"/>
    <w:rsid w:val="00594652"/>
    <w:rsid w:val="005D23F0"/>
    <w:rsid w:val="005F6636"/>
    <w:rsid w:val="0064385C"/>
    <w:rsid w:val="006B1AAA"/>
    <w:rsid w:val="006E6916"/>
    <w:rsid w:val="0070113B"/>
    <w:rsid w:val="00730525"/>
    <w:rsid w:val="007C72B4"/>
    <w:rsid w:val="00853012"/>
    <w:rsid w:val="00861C44"/>
    <w:rsid w:val="00864FFB"/>
    <w:rsid w:val="008751F7"/>
    <w:rsid w:val="00877CF2"/>
    <w:rsid w:val="008933A1"/>
    <w:rsid w:val="008C2A3F"/>
    <w:rsid w:val="008C42AE"/>
    <w:rsid w:val="009028E3"/>
    <w:rsid w:val="00A02F63"/>
    <w:rsid w:val="00A230C8"/>
    <w:rsid w:val="00A81455"/>
    <w:rsid w:val="00A971AE"/>
    <w:rsid w:val="00AA23AC"/>
    <w:rsid w:val="00B122D3"/>
    <w:rsid w:val="00B51950"/>
    <w:rsid w:val="00B56E6D"/>
    <w:rsid w:val="00BD2021"/>
    <w:rsid w:val="00BF0DC7"/>
    <w:rsid w:val="00C151EC"/>
    <w:rsid w:val="00C47737"/>
    <w:rsid w:val="00CC337E"/>
    <w:rsid w:val="00CC624B"/>
    <w:rsid w:val="00D270A8"/>
    <w:rsid w:val="00D43DC5"/>
    <w:rsid w:val="00D87FA7"/>
    <w:rsid w:val="00DA18CF"/>
    <w:rsid w:val="00DB69AF"/>
    <w:rsid w:val="00DF742B"/>
    <w:rsid w:val="00E13584"/>
    <w:rsid w:val="00E20D6C"/>
    <w:rsid w:val="00E359D2"/>
    <w:rsid w:val="00E35B57"/>
    <w:rsid w:val="00E97B6E"/>
    <w:rsid w:val="00ED4FBA"/>
    <w:rsid w:val="00FC6F3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B0A0"/>
  <w15:chartTrackingRefBased/>
  <w15:docId w15:val="{D2E9DDCF-23F5-477A-8B59-51F0AA92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6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6AA6"/>
    <w:rPr>
      <w:color w:val="0563C1" w:themeColor="hyperlink"/>
      <w:u w:val="single"/>
    </w:rPr>
  </w:style>
  <w:style w:type="paragraph" w:styleId="ListParagraph">
    <w:name w:val="List Paragraph"/>
    <w:basedOn w:val="Normal"/>
    <w:uiPriority w:val="34"/>
    <w:qFormat/>
    <w:rsid w:val="001375D7"/>
    <w:pPr>
      <w:ind w:left="720"/>
      <w:contextualSpacing/>
    </w:pPr>
  </w:style>
  <w:style w:type="character" w:styleId="CommentReference">
    <w:name w:val="annotation reference"/>
    <w:basedOn w:val="DefaultParagraphFont"/>
    <w:uiPriority w:val="99"/>
    <w:semiHidden/>
    <w:unhideWhenUsed/>
    <w:rsid w:val="00373B3F"/>
    <w:rPr>
      <w:sz w:val="16"/>
      <w:szCs w:val="16"/>
    </w:rPr>
  </w:style>
  <w:style w:type="paragraph" w:styleId="CommentText">
    <w:name w:val="annotation text"/>
    <w:basedOn w:val="Normal"/>
    <w:link w:val="CommentTextChar"/>
    <w:uiPriority w:val="99"/>
    <w:semiHidden/>
    <w:unhideWhenUsed/>
    <w:rsid w:val="00373B3F"/>
    <w:pPr>
      <w:spacing w:line="240" w:lineRule="auto"/>
    </w:pPr>
    <w:rPr>
      <w:sz w:val="20"/>
      <w:szCs w:val="20"/>
    </w:rPr>
  </w:style>
  <w:style w:type="character" w:customStyle="1" w:styleId="CommentTextChar">
    <w:name w:val="Comment Text Char"/>
    <w:basedOn w:val="DefaultParagraphFont"/>
    <w:link w:val="CommentText"/>
    <w:uiPriority w:val="99"/>
    <w:semiHidden/>
    <w:rsid w:val="00373B3F"/>
    <w:rPr>
      <w:sz w:val="20"/>
      <w:szCs w:val="20"/>
    </w:rPr>
  </w:style>
  <w:style w:type="paragraph" w:styleId="CommentSubject">
    <w:name w:val="annotation subject"/>
    <w:basedOn w:val="CommentText"/>
    <w:next w:val="CommentText"/>
    <w:link w:val="CommentSubjectChar"/>
    <w:uiPriority w:val="99"/>
    <w:semiHidden/>
    <w:unhideWhenUsed/>
    <w:rsid w:val="00373B3F"/>
    <w:rPr>
      <w:b/>
      <w:bCs/>
    </w:rPr>
  </w:style>
  <w:style w:type="character" w:customStyle="1" w:styleId="CommentSubjectChar">
    <w:name w:val="Comment Subject Char"/>
    <w:basedOn w:val="CommentTextChar"/>
    <w:link w:val="CommentSubject"/>
    <w:uiPriority w:val="99"/>
    <w:semiHidden/>
    <w:rsid w:val="00373B3F"/>
    <w:rPr>
      <w:b/>
      <w:bCs/>
      <w:sz w:val="20"/>
      <w:szCs w:val="20"/>
    </w:rPr>
  </w:style>
  <w:style w:type="paragraph" w:styleId="BalloonText">
    <w:name w:val="Balloon Text"/>
    <w:basedOn w:val="Normal"/>
    <w:link w:val="BalloonTextChar"/>
    <w:uiPriority w:val="99"/>
    <w:semiHidden/>
    <w:unhideWhenUsed/>
    <w:rsid w:val="00373B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B3F"/>
    <w:rPr>
      <w:rFonts w:ascii="Segoe UI" w:hAnsi="Segoe UI" w:cs="Segoe UI"/>
      <w:sz w:val="18"/>
      <w:szCs w:val="18"/>
    </w:rPr>
  </w:style>
  <w:style w:type="paragraph" w:styleId="Header">
    <w:name w:val="header"/>
    <w:basedOn w:val="Normal"/>
    <w:link w:val="HeaderChar"/>
    <w:uiPriority w:val="99"/>
    <w:unhideWhenUsed/>
    <w:rsid w:val="00902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8E3"/>
  </w:style>
  <w:style w:type="paragraph" w:styleId="Footer">
    <w:name w:val="footer"/>
    <w:basedOn w:val="Normal"/>
    <w:link w:val="FooterChar"/>
    <w:uiPriority w:val="99"/>
    <w:unhideWhenUsed/>
    <w:rsid w:val="00902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8E3"/>
  </w:style>
  <w:style w:type="paragraph" w:styleId="Revision">
    <w:name w:val="Revision"/>
    <w:hidden/>
    <w:uiPriority w:val="99"/>
    <w:semiHidden/>
    <w:rsid w:val="006E6916"/>
    <w:pPr>
      <w:spacing w:after="0" w:line="240" w:lineRule="auto"/>
    </w:pPr>
  </w:style>
  <w:style w:type="character" w:styleId="UnresolvedMention">
    <w:name w:val="Unresolved Mention"/>
    <w:basedOn w:val="DefaultParagraphFont"/>
    <w:uiPriority w:val="99"/>
    <w:semiHidden/>
    <w:unhideWhenUsed/>
    <w:rsid w:val="007C7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zf.org.nz" TargetMode="External"/><Relationship Id="rId13" Type="http://schemas.openxmlformats.org/officeDocument/2006/relationships/hyperlink" Target="http://www.nzf.org.n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pac.org.n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pathways.org.nz" TargetMode="External"/><Relationship Id="rId5" Type="http://schemas.openxmlformats.org/officeDocument/2006/relationships/footnotes" Target="footnotes.xml"/><Relationship Id="rId15" Type="http://schemas.openxmlformats.org/officeDocument/2006/relationships/hyperlink" Target="https://www.mdcalc.com/creatinine-clearance-cockcroft-gault-equation" TargetMode="External"/><Relationship Id="rId10" Type="http://schemas.openxmlformats.org/officeDocument/2006/relationships/hyperlink" Target="https://www.healthinfo.org.nz/patientinfo/29946.pdf" TargetMode="External"/><Relationship Id="rId4" Type="http://schemas.openxmlformats.org/officeDocument/2006/relationships/webSettings" Target="webSettings.xml"/><Relationship Id="rId9" Type="http://schemas.openxmlformats.org/officeDocument/2006/relationships/hyperlink" Target="https://www.healthnavigator.org.nz/medicines/a/alendronate/" TargetMode="External"/><Relationship Id="rId14" Type="http://schemas.openxmlformats.org/officeDocument/2006/relationships/hyperlink" Target="http://www.medsafe.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Southern PHO</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Leach</dc:creator>
  <cp:keywords/>
  <dc:description/>
  <cp:lastModifiedBy>Nick Leach</cp:lastModifiedBy>
  <cp:revision>3</cp:revision>
  <dcterms:created xsi:type="dcterms:W3CDTF">2021-08-23T03:35:00Z</dcterms:created>
  <dcterms:modified xsi:type="dcterms:W3CDTF">2021-08-23T03:35:00Z</dcterms:modified>
</cp:coreProperties>
</file>