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533BC" w14:textId="77777777" w:rsidR="00853012" w:rsidRPr="001162FE" w:rsidRDefault="00123A68" w:rsidP="001162FE">
      <w:pPr>
        <w:jc w:val="center"/>
        <w:rPr>
          <w:b/>
          <w:sz w:val="28"/>
          <w:szCs w:val="28"/>
        </w:rPr>
      </w:pPr>
      <w:r w:rsidRPr="00123A68">
        <w:rPr>
          <w:noProof/>
          <w:lang w:eastAsia="en-NZ"/>
        </w:rPr>
        <w:drawing>
          <wp:inline distT="0" distB="0" distL="0" distR="0" wp14:anchorId="616DF5D9" wp14:editId="527D77C2">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D82CC2">
        <w:rPr>
          <w:b/>
          <w:sz w:val="28"/>
          <w:szCs w:val="28"/>
        </w:rPr>
        <w:t>Hives</w:t>
      </w:r>
      <w:r w:rsidR="001162FE" w:rsidRPr="001162FE">
        <w:rPr>
          <w:b/>
          <w:sz w:val="28"/>
          <w:szCs w:val="28"/>
        </w:rPr>
        <w:t xml:space="preserve"> 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14:paraId="32874EC4" w14:textId="77777777" w:rsidTr="00877CF2">
        <w:trPr>
          <w:jc w:val="center"/>
        </w:trPr>
        <w:tc>
          <w:tcPr>
            <w:tcW w:w="1555" w:type="dxa"/>
          </w:tcPr>
          <w:p w14:paraId="324E7443" w14:textId="77777777" w:rsidR="001162FE" w:rsidRDefault="001162FE">
            <w:r>
              <w:t>Issue date:</w:t>
            </w:r>
          </w:p>
        </w:tc>
        <w:tc>
          <w:tcPr>
            <w:tcW w:w="1984" w:type="dxa"/>
          </w:tcPr>
          <w:p w14:paraId="06CEF454" w14:textId="77777777" w:rsidR="001162FE" w:rsidRDefault="001162FE"/>
        </w:tc>
        <w:tc>
          <w:tcPr>
            <w:tcW w:w="1843" w:type="dxa"/>
          </w:tcPr>
          <w:p w14:paraId="4C7FE0A7" w14:textId="77777777" w:rsidR="001162FE" w:rsidRDefault="001162FE">
            <w:r>
              <w:t>Review date:</w:t>
            </w:r>
          </w:p>
        </w:tc>
        <w:tc>
          <w:tcPr>
            <w:tcW w:w="2268" w:type="dxa"/>
          </w:tcPr>
          <w:p w14:paraId="60DA51F7" w14:textId="77777777" w:rsidR="001162FE" w:rsidRDefault="001162FE"/>
        </w:tc>
      </w:tr>
    </w:tbl>
    <w:p w14:paraId="0BE58D79" w14:textId="77777777" w:rsidR="001162FE" w:rsidRDefault="001162FE"/>
    <w:p w14:paraId="00710D63" w14:textId="77777777"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1162FE" w14:paraId="16F9E46F" w14:textId="77777777" w:rsidTr="001162FE">
        <w:tc>
          <w:tcPr>
            <w:tcW w:w="2689" w:type="dxa"/>
          </w:tcPr>
          <w:p w14:paraId="0C1B4BCF" w14:textId="77777777" w:rsidR="001162FE" w:rsidRPr="0064385C" w:rsidRDefault="00877CF2">
            <w:pPr>
              <w:rPr>
                <w:b/>
              </w:rPr>
            </w:pPr>
            <w:r w:rsidRPr="0064385C">
              <w:rPr>
                <w:b/>
              </w:rPr>
              <w:t>Standing Order Name</w:t>
            </w:r>
          </w:p>
        </w:tc>
        <w:tc>
          <w:tcPr>
            <w:tcW w:w="8073" w:type="dxa"/>
          </w:tcPr>
          <w:p w14:paraId="0E380A90" w14:textId="77777777" w:rsidR="001162FE" w:rsidRDefault="00D82CC2">
            <w:r>
              <w:t>Hives (</w:t>
            </w:r>
            <w:proofErr w:type="spellStart"/>
            <w:r>
              <w:t>Urticaria</w:t>
            </w:r>
            <w:proofErr w:type="spellEnd"/>
            <w:r>
              <w:t>)</w:t>
            </w:r>
          </w:p>
        </w:tc>
      </w:tr>
      <w:tr w:rsidR="001162FE" w14:paraId="0562360D" w14:textId="77777777" w:rsidTr="001162FE">
        <w:tc>
          <w:tcPr>
            <w:tcW w:w="2689" w:type="dxa"/>
          </w:tcPr>
          <w:p w14:paraId="0BBD354E" w14:textId="77777777" w:rsidR="001162FE" w:rsidRPr="0064385C" w:rsidRDefault="00877CF2">
            <w:pPr>
              <w:rPr>
                <w:b/>
              </w:rPr>
            </w:pPr>
            <w:r w:rsidRPr="0064385C">
              <w:rPr>
                <w:b/>
              </w:rPr>
              <w:t>Rationale</w:t>
            </w:r>
          </w:p>
        </w:tc>
        <w:tc>
          <w:tcPr>
            <w:tcW w:w="8073" w:type="dxa"/>
          </w:tcPr>
          <w:p w14:paraId="74B2AB4A" w14:textId="77777777" w:rsidR="001162FE" w:rsidRDefault="00D82CC2">
            <w:r>
              <w:t xml:space="preserve">To promptly and appropriately treat patients presenting with signs of acute </w:t>
            </w:r>
            <w:proofErr w:type="spellStart"/>
            <w:r>
              <w:t>urticaria</w:t>
            </w:r>
            <w:proofErr w:type="spellEnd"/>
            <w:r>
              <w:t xml:space="preserve">. </w:t>
            </w:r>
          </w:p>
        </w:tc>
      </w:tr>
      <w:tr w:rsidR="001162FE" w14:paraId="2B3EF0C4" w14:textId="77777777" w:rsidTr="001162FE">
        <w:tc>
          <w:tcPr>
            <w:tcW w:w="2689" w:type="dxa"/>
          </w:tcPr>
          <w:p w14:paraId="23C04BD8" w14:textId="77777777" w:rsidR="00877CF2" w:rsidRPr="0064385C" w:rsidRDefault="008C2A3F">
            <w:pPr>
              <w:rPr>
                <w:b/>
              </w:rPr>
            </w:pPr>
            <w:r w:rsidRPr="0064385C">
              <w:rPr>
                <w:b/>
              </w:rPr>
              <w:t>Scope (condition and patient group)</w:t>
            </w:r>
          </w:p>
        </w:tc>
        <w:tc>
          <w:tcPr>
            <w:tcW w:w="8073" w:type="dxa"/>
          </w:tcPr>
          <w:p w14:paraId="232A5D03" w14:textId="77777777" w:rsidR="001162FE" w:rsidRDefault="00E06E0A" w:rsidP="00E06E0A">
            <w:r>
              <w:t xml:space="preserve">Adults and children presenting with symptoms assessed as being due to </w:t>
            </w:r>
            <w:proofErr w:type="spellStart"/>
            <w:r>
              <w:t>urticaria</w:t>
            </w:r>
            <w:proofErr w:type="spellEnd"/>
            <w:r>
              <w:t xml:space="preserve">. </w:t>
            </w:r>
          </w:p>
        </w:tc>
      </w:tr>
      <w:tr w:rsidR="000E47A6" w14:paraId="3B3F4007" w14:textId="77777777" w:rsidTr="001162FE">
        <w:tc>
          <w:tcPr>
            <w:tcW w:w="2689" w:type="dxa"/>
          </w:tcPr>
          <w:p w14:paraId="28A75D48" w14:textId="77777777" w:rsidR="000E47A6" w:rsidRPr="0064385C" w:rsidRDefault="000E47A6">
            <w:pPr>
              <w:rPr>
                <w:b/>
              </w:rPr>
            </w:pPr>
            <w:r>
              <w:rPr>
                <w:b/>
              </w:rPr>
              <w:t>Red Flags</w:t>
            </w:r>
          </w:p>
        </w:tc>
        <w:tc>
          <w:tcPr>
            <w:tcW w:w="8073" w:type="dxa"/>
          </w:tcPr>
          <w:p w14:paraId="37B250F9" w14:textId="77777777" w:rsidR="00CD17AA" w:rsidRDefault="00CD17AA" w:rsidP="00CD17AA">
            <w:r>
              <w:t>Bacterial or fungal infections of the skin</w:t>
            </w:r>
          </w:p>
          <w:p w14:paraId="4ED934AD" w14:textId="0362DCE2" w:rsidR="00CD17AA" w:rsidRDefault="00CD17AA" w:rsidP="00CD17AA">
            <w:r>
              <w:t>Autoimmune thyroid disease – may be indicated by an enlarged thyroid</w:t>
            </w:r>
            <w:r w:rsidR="00042E6C">
              <w:t xml:space="preserve"> </w:t>
            </w:r>
          </w:p>
          <w:p w14:paraId="7DC6B0FA" w14:textId="77777777" w:rsidR="00CD17AA" w:rsidRDefault="00CD17AA" w:rsidP="00CD17AA">
            <w:r>
              <w:t>Connective tissue diseases – may be indicated by joint swelling or tenderness or oral ulceration, e.g. rheumatoid arthritis, systemic lupus erythematosus</w:t>
            </w:r>
          </w:p>
          <w:p w14:paraId="4A8068BF" w14:textId="77777777" w:rsidR="000E47A6" w:rsidRDefault="00CD17AA" w:rsidP="00CD17AA">
            <w:r>
              <w:t xml:space="preserve">Liver disease/dysfunction – may be indicated by tenderness on palpation of the liver or jaundice, e.g. cholestasis can cause pruritus and acute </w:t>
            </w:r>
            <w:proofErr w:type="spellStart"/>
            <w:r>
              <w:t>urticaria</w:t>
            </w:r>
            <w:proofErr w:type="spellEnd"/>
            <w:r>
              <w:t xml:space="preserve"> can be an early sign</w:t>
            </w:r>
            <w:r w:rsidR="00E85DF5">
              <w:t xml:space="preserve"> of hepatitis A, B and rarely C</w:t>
            </w:r>
          </w:p>
        </w:tc>
      </w:tr>
      <w:tr w:rsidR="001162FE" w14:paraId="3D375D23" w14:textId="77777777" w:rsidTr="001162FE">
        <w:tc>
          <w:tcPr>
            <w:tcW w:w="2689" w:type="dxa"/>
          </w:tcPr>
          <w:p w14:paraId="048821D1" w14:textId="77777777" w:rsidR="001162FE" w:rsidRPr="0064385C" w:rsidRDefault="008C2A3F">
            <w:pPr>
              <w:rPr>
                <w:b/>
              </w:rPr>
            </w:pPr>
            <w:r w:rsidRPr="0064385C">
              <w:rPr>
                <w:b/>
              </w:rPr>
              <w:t>Assessment</w:t>
            </w:r>
          </w:p>
        </w:tc>
        <w:tc>
          <w:tcPr>
            <w:tcW w:w="8073" w:type="dxa"/>
          </w:tcPr>
          <w:p w14:paraId="5971AC48" w14:textId="77777777" w:rsidR="00116EAA" w:rsidRDefault="00CD17AA" w:rsidP="00116EAA">
            <w:r>
              <w:t xml:space="preserve">1. </w:t>
            </w:r>
            <w:r w:rsidR="00116EAA">
              <w:t>Clinical History</w:t>
            </w:r>
          </w:p>
          <w:p w14:paraId="78EB2563" w14:textId="2126F86C" w:rsidR="00116EAA" w:rsidRDefault="00116EAA" w:rsidP="00116EAA">
            <w:pPr>
              <w:pStyle w:val="ListParagraph"/>
              <w:numPr>
                <w:ilvl w:val="0"/>
                <w:numId w:val="3"/>
              </w:numPr>
            </w:pPr>
            <w:r>
              <w:t xml:space="preserve">When did the </w:t>
            </w:r>
            <w:proofErr w:type="spellStart"/>
            <w:r>
              <w:t>urticaria</w:t>
            </w:r>
            <w:proofErr w:type="spellEnd"/>
            <w:r>
              <w:t xml:space="preserve"> start?</w:t>
            </w:r>
          </w:p>
          <w:p w14:paraId="700641FF" w14:textId="6F14F876" w:rsidR="00116EAA" w:rsidRDefault="00116EAA" w:rsidP="00116EAA">
            <w:pPr>
              <w:pStyle w:val="ListParagraph"/>
              <w:numPr>
                <w:ilvl w:val="0"/>
                <w:numId w:val="3"/>
              </w:numPr>
            </w:pPr>
            <w:r>
              <w:t>How often do they happen?</w:t>
            </w:r>
          </w:p>
          <w:p w14:paraId="2530A4A5" w14:textId="77777777" w:rsidR="00116EAA" w:rsidRDefault="00116EAA" w:rsidP="00116EAA">
            <w:pPr>
              <w:pStyle w:val="ListParagraph"/>
              <w:numPr>
                <w:ilvl w:val="0"/>
                <w:numId w:val="3"/>
              </w:numPr>
            </w:pPr>
            <w:r>
              <w:t>Are there any obvious triggers?</w:t>
            </w:r>
          </w:p>
          <w:p w14:paraId="246D6200" w14:textId="00CE9907" w:rsidR="00116EAA" w:rsidRDefault="00116EAA" w:rsidP="00116EAA">
            <w:pPr>
              <w:pStyle w:val="ListParagraph"/>
              <w:numPr>
                <w:ilvl w:val="1"/>
                <w:numId w:val="3"/>
              </w:numPr>
            </w:pPr>
            <w:r>
              <w:t xml:space="preserve">Food allergies are an unlikely cause of chronic </w:t>
            </w:r>
            <w:proofErr w:type="spellStart"/>
            <w:r>
              <w:t>urticaria</w:t>
            </w:r>
            <w:proofErr w:type="spellEnd"/>
            <w:r>
              <w:t>.</w:t>
            </w:r>
          </w:p>
          <w:p w14:paraId="13554D1B" w14:textId="6CB2DF62" w:rsidR="00116EAA" w:rsidRDefault="00116EAA" w:rsidP="00116EAA">
            <w:pPr>
              <w:pStyle w:val="ListParagraph"/>
              <w:numPr>
                <w:ilvl w:val="1"/>
                <w:numId w:val="3"/>
              </w:numPr>
            </w:pPr>
            <w:r>
              <w:t xml:space="preserve">Some factors may aggravate the </w:t>
            </w:r>
            <w:proofErr w:type="spellStart"/>
            <w:r>
              <w:t>urticaria</w:t>
            </w:r>
            <w:proofErr w:type="spellEnd"/>
            <w:r>
              <w:t xml:space="preserve"> e.g., heat, cold, tight clothing, NSAIDs, alcohol, stress.</w:t>
            </w:r>
          </w:p>
          <w:p w14:paraId="06A76237" w14:textId="10D14716" w:rsidR="00116EAA" w:rsidRDefault="00116EAA" w:rsidP="00116EAA">
            <w:pPr>
              <w:pStyle w:val="ListParagraph"/>
              <w:numPr>
                <w:ilvl w:val="0"/>
                <w:numId w:val="3"/>
              </w:numPr>
            </w:pPr>
            <w:r>
              <w:t>Any associated features (e.g., angioedema)?</w:t>
            </w:r>
          </w:p>
          <w:p w14:paraId="5E6F7DF8" w14:textId="47A0CA8B" w:rsidR="00116EAA" w:rsidRDefault="00116EAA" w:rsidP="00116EAA">
            <w:pPr>
              <w:pStyle w:val="ListParagraph"/>
              <w:numPr>
                <w:ilvl w:val="0"/>
                <w:numId w:val="3"/>
              </w:numPr>
            </w:pPr>
            <w:r>
              <w:t>What treatments have been used?</w:t>
            </w:r>
          </w:p>
          <w:p w14:paraId="41F636BB" w14:textId="7E871AA2" w:rsidR="00116EAA" w:rsidRDefault="00116EAA" w:rsidP="00116EAA">
            <w:pPr>
              <w:pStyle w:val="ListParagraph"/>
              <w:numPr>
                <w:ilvl w:val="0"/>
                <w:numId w:val="3"/>
              </w:numPr>
            </w:pPr>
            <w:r>
              <w:t xml:space="preserve">Previous history of </w:t>
            </w:r>
            <w:proofErr w:type="spellStart"/>
            <w:r>
              <w:t>urticaria</w:t>
            </w:r>
            <w:proofErr w:type="spellEnd"/>
            <w:r>
              <w:t xml:space="preserve"> and other relevant medical problems (e.g., hypothyroidism)?</w:t>
            </w:r>
          </w:p>
          <w:p w14:paraId="0EDB0E3B" w14:textId="77777777" w:rsidR="00116EAA" w:rsidRPr="00116EAA" w:rsidRDefault="00116EAA" w:rsidP="00116EAA">
            <w:pPr>
              <w:pStyle w:val="ListParagraph"/>
              <w:rPr>
                <w:sz w:val="12"/>
                <w:szCs w:val="12"/>
              </w:rPr>
            </w:pPr>
          </w:p>
          <w:p w14:paraId="7585F729" w14:textId="616C07B5" w:rsidR="00CD17AA" w:rsidRDefault="00116EAA" w:rsidP="00CD17AA">
            <w:r>
              <w:t xml:space="preserve">2. </w:t>
            </w:r>
            <w:r w:rsidR="00CD17AA">
              <w:t>Determine:</w:t>
            </w:r>
          </w:p>
          <w:p w14:paraId="2F67CE7D" w14:textId="68B91C5E" w:rsidR="00CD17AA" w:rsidRDefault="00CD17AA" w:rsidP="00CD17AA">
            <w:pPr>
              <w:pStyle w:val="ListParagraph"/>
              <w:numPr>
                <w:ilvl w:val="0"/>
                <w:numId w:val="1"/>
              </w:numPr>
            </w:pPr>
            <w:r>
              <w:t xml:space="preserve">Frequency, size, distribution and duration of the lesions – to determine type of </w:t>
            </w:r>
            <w:r w:rsidR="00116EAA">
              <w:t>urticarial</w:t>
            </w:r>
          </w:p>
          <w:p w14:paraId="0CD34BE2" w14:textId="77777777" w:rsidR="00116EAA" w:rsidRPr="00116EAA" w:rsidRDefault="00116EAA" w:rsidP="00116EAA">
            <w:pPr>
              <w:pStyle w:val="ListParagraph"/>
              <w:rPr>
                <w:sz w:val="12"/>
                <w:szCs w:val="12"/>
              </w:rPr>
            </w:pPr>
          </w:p>
          <w:p w14:paraId="3F952682" w14:textId="356C8109" w:rsidR="00116EAA" w:rsidRDefault="00116EAA" w:rsidP="00116EAA">
            <w:r>
              <w:t>3. Examination will usually show the presence of well-circumscribed pruritic wheals that resolve within 24 to 48 hours.</w:t>
            </w:r>
          </w:p>
          <w:p w14:paraId="20823803" w14:textId="77777777" w:rsidR="00116EAA" w:rsidRPr="00116EAA" w:rsidRDefault="00116EAA" w:rsidP="00116EAA">
            <w:pPr>
              <w:rPr>
                <w:sz w:val="12"/>
                <w:szCs w:val="12"/>
              </w:rPr>
            </w:pPr>
          </w:p>
          <w:p w14:paraId="57F31A39" w14:textId="5753B2AE" w:rsidR="00116EAA" w:rsidRDefault="00116EAA" w:rsidP="00116EAA">
            <w:r>
              <w:t xml:space="preserve">4. Rule out </w:t>
            </w:r>
            <w:proofErr w:type="spellStart"/>
            <w:r>
              <w:t>dermatographism</w:t>
            </w:r>
            <w:proofErr w:type="spellEnd"/>
            <w:r>
              <w:t xml:space="preserve">, pruritus, </w:t>
            </w:r>
            <w:proofErr w:type="gramStart"/>
            <w:r>
              <w:t>other</w:t>
            </w:r>
            <w:proofErr w:type="gramEnd"/>
            <w:r>
              <w:t xml:space="preserve"> causes of itchy rash (e.g., scabies).</w:t>
            </w:r>
          </w:p>
          <w:p w14:paraId="2441E41C" w14:textId="77777777" w:rsidR="00116EAA" w:rsidRPr="00116EAA" w:rsidRDefault="00116EAA" w:rsidP="00116EAA">
            <w:pPr>
              <w:rPr>
                <w:sz w:val="12"/>
                <w:szCs w:val="12"/>
              </w:rPr>
            </w:pPr>
          </w:p>
          <w:p w14:paraId="71469E64" w14:textId="68A13DF8" w:rsidR="001162FE" w:rsidRDefault="00116EAA" w:rsidP="00116EAA">
            <w:proofErr w:type="gramStart"/>
            <w:r>
              <w:t>5.Determine</w:t>
            </w:r>
            <w:proofErr w:type="gramEnd"/>
            <w:r>
              <w:t xml:space="preserve"> whether acute (&lt; 6 weeks' duration) or chronic (&gt; than 6 weeks' duration).</w:t>
            </w:r>
          </w:p>
        </w:tc>
      </w:tr>
      <w:tr w:rsidR="001162FE" w14:paraId="6424438C" w14:textId="77777777" w:rsidTr="001162FE">
        <w:tc>
          <w:tcPr>
            <w:tcW w:w="2689" w:type="dxa"/>
          </w:tcPr>
          <w:p w14:paraId="0FFCD678" w14:textId="77777777" w:rsidR="001162FE" w:rsidRPr="0064385C" w:rsidRDefault="0064385C">
            <w:pPr>
              <w:rPr>
                <w:b/>
              </w:rPr>
            </w:pPr>
            <w:r>
              <w:rPr>
                <w:b/>
              </w:rPr>
              <w:t>Indication</w:t>
            </w:r>
          </w:p>
        </w:tc>
        <w:tc>
          <w:tcPr>
            <w:tcW w:w="8073" w:type="dxa"/>
          </w:tcPr>
          <w:p w14:paraId="71BC6965" w14:textId="77777777" w:rsidR="001162FE" w:rsidRPr="00E06E0A" w:rsidRDefault="00E06E0A">
            <w:pPr>
              <w:rPr>
                <w:b/>
              </w:rPr>
            </w:pPr>
            <w:r w:rsidRPr="00E06E0A">
              <w:rPr>
                <w:b/>
              </w:rPr>
              <w:t>Symptomatic relief of</w:t>
            </w:r>
            <w:r w:rsidR="00E85DF5" w:rsidRPr="00E06E0A">
              <w:rPr>
                <w:b/>
              </w:rPr>
              <w:t xml:space="preserve"> acute </w:t>
            </w:r>
            <w:proofErr w:type="spellStart"/>
            <w:r w:rsidR="00E85DF5" w:rsidRPr="00E06E0A">
              <w:rPr>
                <w:b/>
              </w:rPr>
              <w:t>urticaria</w:t>
            </w:r>
            <w:proofErr w:type="spellEnd"/>
          </w:p>
        </w:tc>
      </w:tr>
      <w:tr w:rsidR="001162FE" w14:paraId="4FC8C934" w14:textId="77777777" w:rsidTr="001162FE">
        <w:tc>
          <w:tcPr>
            <w:tcW w:w="2689" w:type="dxa"/>
          </w:tcPr>
          <w:p w14:paraId="5E403570" w14:textId="77777777" w:rsidR="001162FE" w:rsidRPr="0064385C" w:rsidRDefault="00877CF2">
            <w:pPr>
              <w:rPr>
                <w:b/>
              </w:rPr>
            </w:pPr>
            <w:r w:rsidRPr="0064385C">
              <w:rPr>
                <w:b/>
              </w:rPr>
              <w:t>Medicine</w:t>
            </w:r>
          </w:p>
        </w:tc>
        <w:tc>
          <w:tcPr>
            <w:tcW w:w="8073" w:type="dxa"/>
          </w:tcPr>
          <w:p w14:paraId="604EF2E3" w14:textId="2C07D683" w:rsidR="001162FE" w:rsidRPr="00E06E0A" w:rsidRDefault="00E85DF5">
            <w:pPr>
              <w:rPr>
                <w:b/>
              </w:rPr>
            </w:pPr>
            <w:proofErr w:type="spellStart"/>
            <w:r w:rsidRPr="00E06E0A">
              <w:rPr>
                <w:b/>
              </w:rPr>
              <w:t>Loratadine</w:t>
            </w:r>
            <w:proofErr w:type="spellEnd"/>
            <w:r w:rsidRPr="00E06E0A">
              <w:rPr>
                <w:b/>
              </w:rPr>
              <w:t xml:space="preserve"> </w:t>
            </w:r>
            <w:r w:rsidR="00774026" w:rsidRPr="00774026">
              <w:t>tablets or liquid</w:t>
            </w:r>
          </w:p>
        </w:tc>
      </w:tr>
      <w:tr w:rsidR="001162FE" w14:paraId="0525D019" w14:textId="77777777" w:rsidTr="001162FE">
        <w:tc>
          <w:tcPr>
            <w:tcW w:w="2689" w:type="dxa"/>
          </w:tcPr>
          <w:p w14:paraId="64DBA874" w14:textId="77777777" w:rsidR="00877CF2" w:rsidRPr="0064385C" w:rsidRDefault="00877CF2">
            <w:pPr>
              <w:rPr>
                <w:b/>
              </w:rPr>
            </w:pPr>
            <w:r w:rsidRPr="0064385C">
              <w:rPr>
                <w:b/>
              </w:rPr>
              <w:t>Dosage instructions</w:t>
            </w:r>
          </w:p>
        </w:tc>
        <w:tc>
          <w:tcPr>
            <w:tcW w:w="8073" w:type="dxa"/>
          </w:tcPr>
          <w:p w14:paraId="59DA5ECD" w14:textId="77777777" w:rsidR="006C3B6C" w:rsidRDefault="006C3B6C" w:rsidP="006C3B6C">
            <w:r w:rsidRPr="00774026">
              <w:rPr>
                <w:u w:val="single"/>
              </w:rPr>
              <w:t>Adults and children &gt; 30kg</w:t>
            </w:r>
            <w:r>
              <w:t>: 10mg ONCE daily PRN</w:t>
            </w:r>
          </w:p>
          <w:p w14:paraId="5C2150CE" w14:textId="1786D784" w:rsidR="001162FE" w:rsidRDefault="006C3B6C" w:rsidP="006C3B6C">
            <w:r w:rsidRPr="00774026">
              <w:rPr>
                <w:u w:val="single"/>
              </w:rPr>
              <w:t>Children 2-12 years &lt; 30kg</w:t>
            </w:r>
            <w:r>
              <w:t>: 5mg ONCE daily PRN</w:t>
            </w:r>
          </w:p>
        </w:tc>
      </w:tr>
      <w:tr w:rsidR="001162FE" w14:paraId="3DCB530E" w14:textId="77777777" w:rsidTr="001162FE">
        <w:tc>
          <w:tcPr>
            <w:tcW w:w="2689" w:type="dxa"/>
          </w:tcPr>
          <w:p w14:paraId="16ACF9B8" w14:textId="77777777" w:rsidR="001162FE" w:rsidRPr="0064385C" w:rsidRDefault="00877CF2">
            <w:pPr>
              <w:rPr>
                <w:b/>
              </w:rPr>
            </w:pPr>
            <w:r w:rsidRPr="0064385C">
              <w:rPr>
                <w:b/>
              </w:rPr>
              <w:t>Route of administration</w:t>
            </w:r>
          </w:p>
        </w:tc>
        <w:tc>
          <w:tcPr>
            <w:tcW w:w="8073" w:type="dxa"/>
          </w:tcPr>
          <w:p w14:paraId="04F4C8E3" w14:textId="77777777" w:rsidR="001162FE" w:rsidRDefault="00E85DF5">
            <w:r>
              <w:t>Oral</w:t>
            </w:r>
          </w:p>
        </w:tc>
      </w:tr>
      <w:tr w:rsidR="001162FE" w14:paraId="1677806F" w14:textId="77777777" w:rsidTr="001162FE">
        <w:tc>
          <w:tcPr>
            <w:tcW w:w="2689" w:type="dxa"/>
          </w:tcPr>
          <w:p w14:paraId="3C3E0878" w14:textId="77777777" w:rsidR="001162FE" w:rsidRPr="0064385C" w:rsidRDefault="0064385C" w:rsidP="0064385C">
            <w:pPr>
              <w:rPr>
                <w:b/>
              </w:rPr>
            </w:pPr>
            <w:r>
              <w:rPr>
                <w:b/>
              </w:rPr>
              <w:t>Quantity to be given</w:t>
            </w:r>
          </w:p>
        </w:tc>
        <w:tc>
          <w:tcPr>
            <w:tcW w:w="8073" w:type="dxa"/>
          </w:tcPr>
          <w:p w14:paraId="32D7A8E7" w14:textId="77777777" w:rsidR="001162FE" w:rsidRDefault="006C3B6C">
            <w:r>
              <w:t xml:space="preserve">10 </w:t>
            </w:r>
            <w:proofErr w:type="spellStart"/>
            <w:r>
              <w:t>days</w:t>
            </w:r>
            <w:proofErr w:type="spellEnd"/>
            <w:r>
              <w:t xml:space="preserve"> supply</w:t>
            </w:r>
          </w:p>
        </w:tc>
      </w:tr>
      <w:tr w:rsidR="001162FE" w14:paraId="513247E7" w14:textId="77777777" w:rsidTr="001162FE">
        <w:tc>
          <w:tcPr>
            <w:tcW w:w="2689" w:type="dxa"/>
          </w:tcPr>
          <w:p w14:paraId="0186E5FD" w14:textId="77777777" w:rsidR="001162FE" w:rsidRPr="0064385C" w:rsidRDefault="00877CF2">
            <w:pPr>
              <w:rPr>
                <w:b/>
              </w:rPr>
            </w:pPr>
            <w:r w:rsidRPr="0064385C">
              <w:rPr>
                <w:b/>
              </w:rPr>
              <w:t>Contraindications</w:t>
            </w:r>
          </w:p>
        </w:tc>
        <w:tc>
          <w:tcPr>
            <w:tcW w:w="8073" w:type="dxa"/>
          </w:tcPr>
          <w:p w14:paraId="2F31CF36" w14:textId="77777777" w:rsidR="006C3B6C" w:rsidRDefault="006C3B6C" w:rsidP="006C3B6C">
            <w:r>
              <w:t>P</w:t>
            </w:r>
            <w:r w:rsidRPr="003675CE">
              <w:t>atients who have shown hypersensitivity</w:t>
            </w:r>
            <w:r>
              <w:t xml:space="preserve"> to </w:t>
            </w:r>
            <w:proofErr w:type="spellStart"/>
            <w:r>
              <w:t>loratadine</w:t>
            </w:r>
            <w:proofErr w:type="spellEnd"/>
          </w:p>
          <w:p w14:paraId="24E71C38" w14:textId="181D02F9" w:rsidR="001162FE" w:rsidRDefault="006C3B6C" w:rsidP="00774026">
            <w:r>
              <w:t xml:space="preserve">Children under the age of </w:t>
            </w:r>
            <w:r w:rsidR="00774026">
              <w:t>2</w:t>
            </w:r>
            <w:r>
              <w:t xml:space="preserve"> year</w:t>
            </w:r>
            <w:r w:rsidR="00774026">
              <w:t>s</w:t>
            </w:r>
          </w:p>
        </w:tc>
      </w:tr>
      <w:tr w:rsidR="001162FE" w14:paraId="574839B3" w14:textId="77777777" w:rsidTr="001162FE">
        <w:tc>
          <w:tcPr>
            <w:tcW w:w="2689" w:type="dxa"/>
          </w:tcPr>
          <w:p w14:paraId="10FD49EA" w14:textId="77777777" w:rsidR="001162FE" w:rsidRPr="0064385C" w:rsidRDefault="00877CF2">
            <w:pPr>
              <w:rPr>
                <w:b/>
              </w:rPr>
            </w:pPr>
            <w:r w:rsidRPr="0064385C">
              <w:rPr>
                <w:b/>
              </w:rPr>
              <w:t>Precautions</w:t>
            </w:r>
          </w:p>
        </w:tc>
        <w:tc>
          <w:tcPr>
            <w:tcW w:w="8073" w:type="dxa"/>
          </w:tcPr>
          <w:p w14:paraId="600961D5" w14:textId="1EA4240C" w:rsidR="006C3B6C" w:rsidRDefault="006C3B6C" w:rsidP="006C3B6C">
            <w:pPr>
              <w:pStyle w:val="ListParagraph"/>
              <w:numPr>
                <w:ilvl w:val="0"/>
                <w:numId w:val="2"/>
              </w:numPr>
            </w:pPr>
            <w:r>
              <w:t>R</w:t>
            </w:r>
            <w:r w:rsidRPr="00DF4080">
              <w:t>educe dose frequency to alternate days in severe</w:t>
            </w:r>
            <w:r w:rsidR="004C22D3">
              <w:t xml:space="preserve"> hepatic</w:t>
            </w:r>
            <w:bookmarkStart w:id="0" w:name="_GoBack"/>
            <w:bookmarkEnd w:id="0"/>
            <w:r w:rsidRPr="00DF4080">
              <w:t xml:space="preserve"> impairment</w:t>
            </w:r>
          </w:p>
          <w:p w14:paraId="62FB21B0" w14:textId="77777777" w:rsidR="001162FE" w:rsidRDefault="006C3B6C" w:rsidP="006C3B6C">
            <w:pPr>
              <w:pStyle w:val="ListParagraph"/>
              <w:numPr>
                <w:ilvl w:val="0"/>
                <w:numId w:val="2"/>
              </w:numPr>
            </w:pPr>
            <w:r>
              <w:t>Pregnancy- category B1</w:t>
            </w:r>
          </w:p>
        </w:tc>
      </w:tr>
      <w:tr w:rsidR="008C2A3F" w14:paraId="5A3440A9" w14:textId="77777777" w:rsidTr="001162FE">
        <w:tc>
          <w:tcPr>
            <w:tcW w:w="2689" w:type="dxa"/>
          </w:tcPr>
          <w:p w14:paraId="08DA5CED" w14:textId="77777777" w:rsidR="008C2A3F" w:rsidRPr="0064385C" w:rsidRDefault="008C2A3F" w:rsidP="008C2A3F">
            <w:pPr>
              <w:rPr>
                <w:b/>
              </w:rPr>
            </w:pPr>
            <w:r w:rsidRPr="0064385C">
              <w:rPr>
                <w:b/>
              </w:rPr>
              <w:t>Additional information</w:t>
            </w:r>
          </w:p>
        </w:tc>
        <w:tc>
          <w:tcPr>
            <w:tcW w:w="8073" w:type="dxa"/>
          </w:tcPr>
          <w:p w14:paraId="3C2B9BDB" w14:textId="77777777" w:rsidR="008C2A3F" w:rsidRDefault="00E85DF5" w:rsidP="008C2A3F">
            <w:r w:rsidRPr="00E85DF5">
              <w:t>The use of cool damp cloths, reduction of night-time he</w:t>
            </w:r>
            <w:r w:rsidR="00D90B42">
              <w:t>ating and tepid showers may</w:t>
            </w:r>
            <w:r w:rsidRPr="00E85DF5">
              <w:t xml:space="preserve"> be useful.</w:t>
            </w:r>
          </w:p>
          <w:p w14:paraId="7006FD64" w14:textId="77777777" w:rsidR="00D90B42" w:rsidRPr="00D90B42" w:rsidRDefault="00D90B42" w:rsidP="008C2A3F">
            <w:pPr>
              <w:rPr>
                <w:sz w:val="12"/>
                <w:szCs w:val="12"/>
              </w:rPr>
            </w:pPr>
          </w:p>
          <w:p w14:paraId="5733E78D" w14:textId="77777777" w:rsidR="00D90B42" w:rsidRDefault="00D90B42" w:rsidP="008C2A3F">
            <w:r w:rsidRPr="00D90B42">
              <w:lastRenderedPageBreak/>
              <w:t xml:space="preserve">When the clinical history does not reveal an obvious cause for the </w:t>
            </w:r>
            <w:proofErr w:type="spellStart"/>
            <w:r w:rsidRPr="00D90B42">
              <w:t>urticaria</w:t>
            </w:r>
            <w:proofErr w:type="spellEnd"/>
            <w:r w:rsidRPr="00D90B42">
              <w:t>, an avoidance strategy for potential triggers may be considered.</w:t>
            </w:r>
          </w:p>
          <w:p w14:paraId="7D4700BC" w14:textId="77777777" w:rsidR="006C3B6C" w:rsidRPr="006C3B6C" w:rsidRDefault="006C3B6C" w:rsidP="008C2A3F">
            <w:pPr>
              <w:rPr>
                <w:sz w:val="12"/>
                <w:szCs w:val="12"/>
              </w:rPr>
            </w:pPr>
          </w:p>
          <w:p w14:paraId="27F41772" w14:textId="77777777" w:rsidR="006C3B6C" w:rsidRDefault="006C3B6C" w:rsidP="008C2A3F">
            <w:r w:rsidRPr="006C3B6C">
              <w:t xml:space="preserve">Dietary investigations rarely identify a specific trigger for chronic </w:t>
            </w:r>
            <w:proofErr w:type="spellStart"/>
            <w:r w:rsidRPr="006C3B6C">
              <w:t>urticaria</w:t>
            </w:r>
            <w:proofErr w:type="spellEnd"/>
            <w:r w:rsidRPr="006C3B6C">
              <w:t>, and are not necessary in cases where symptoms can be easily controlled with oral antihistamines. However, if the patient wishes to, a food diary may be used to record and eliminate suspected triggers.</w:t>
            </w:r>
          </w:p>
        </w:tc>
      </w:tr>
      <w:tr w:rsidR="008C2A3F" w14:paraId="0CA05CEB" w14:textId="77777777" w:rsidTr="001162FE">
        <w:tc>
          <w:tcPr>
            <w:tcW w:w="2689" w:type="dxa"/>
          </w:tcPr>
          <w:p w14:paraId="21A181D7" w14:textId="77777777" w:rsidR="008C2A3F" w:rsidRPr="0064385C" w:rsidRDefault="008C2A3F" w:rsidP="008C2A3F">
            <w:pPr>
              <w:rPr>
                <w:b/>
              </w:rPr>
            </w:pPr>
            <w:r w:rsidRPr="0064385C">
              <w:rPr>
                <w:b/>
              </w:rPr>
              <w:lastRenderedPageBreak/>
              <w:t>Follow-up</w:t>
            </w:r>
          </w:p>
        </w:tc>
        <w:tc>
          <w:tcPr>
            <w:tcW w:w="8073" w:type="dxa"/>
          </w:tcPr>
          <w:p w14:paraId="4BFEE4E7" w14:textId="77777777" w:rsidR="008C2A3F" w:rsidRDefault="006C3B6C" w:rsidP="00E06E0A">
            <w:r>
              <w:t xml:space="preserve">If symptoms persist, worsen or are severe then </w:t>
            </w:r>
            <w:r w:rsidR="00E06E0A">
              <w:t xml:space="preserve">advise patient to return. </w:t>
            </w:r>
          </w:p>
        </w:tc>
      </w:tr>
      <w:tr w:rsidR="0070113B" w14:paraId="25473CF7" w14:textId="77777777" w:rsidTr="001162FE">
        <w:tc>
          <w:tcPr>
            <w:tcW w:w="2689" w:type="dxa"/>
          </w:tcPr>
          <w:p w14:paraId="7F196587" w14:textId="77777777" w:rsidR="0070113B" w:rsidRPr="0064385C" w:rsidRDefault="0070113B" w:rsidP="0070113B">
            <w:pPr>
              <w:rPr>
                <w:b/>
              </w:rPr>
            </w:pPr>
            <w:r w:rsidRPr="0064385C">
              <w:rPr>
                <w:b/>
              </w:rPr>
              <w:t>Countersigning and auditing</w:t>
            </w:r>
          </w:p>
        </w:tc>
        <w:tc>
          <w:tcPr>
            <w:tcW w:w="8073" w:type="dxa"/>
          </w:tcPr>
          <w:p w14:paraId="0C58FB29" w14:textId="77777777" w:rsidR="0070113B" w:rsidRDefault="0070113B" w:rsidP="0070113B">
            <w:r>
              <w:t>Countersigning is not required. Audited monthly.</w:t>
            </w:r>
          </w:p>
          <w:p w14:paraId="4CA804F9" w14:textId="77777777" w:rsidR="0070113B" w:rsidRPr="0070113B" w:rsidRDefault="0070113B" w:rsidP="0070113B">
            <w:pPr>
              <w:rPr>
                <w:b/>
              </w:rPr>
            </w:pPr>
            <w:r w:rsidRPr="0070113B">
              <w:rPr>
                <w:b/>
              </w:rPr>
              <w:t xml:space="preserve">OR </w:t>
            </w:r>
          </w:p>
          <w:p w14:paraId="64D39D52" w14:textId="77777777" w:rsidR="0070113B" w:rsidRDefault="0070113B" w:rsidP="0070113B">
            <w:r>
              <w:t xml:space="preserve">Countersigning is required within </w:t>
            </w:r>
            <w:r w:rsidRPr="00070579">
              <w:rPr>
                <w:b/>
                <w:i/>
              </w:rPr>
              <w:t>XX</w:t>
            </w:r>
            <w:r>
              <w:t xml:space="preserve"> days</w:t>
            </w:r>
          </w:p>
        </w:tc>
      </w:tr>
      <w:tr w:rsidR="0070113B" w14:paraId="4F1E2EF2" w14:textId="77777777" w:rsidTr="001162FE">
        <w:tc>
          <w:tcPr>
            <w:tcW w:w="2689" w:type="dxa"/>
          </w:tcPr>
          <w:p w14:paraId="38FA91F8" w14:textId="77777777" w:rsidR="0070113B" w:rsidRPr="0064385C" w:rsidRDefault="0070113B" w:rsidP="0070113B">
            <w:pPr>
              <w:rPr>
                <w:b/>
              </w:rPr>
            </w:pPr>
            <w:r w:rsidRPr="0064385C">
              <w:rPr>
                <w:b/>
              </w:rPr>
              <w:t>Competency/training requirements</w:t>
            </w:r>
          </w:p>
        </w:tc>
        <w:tc>
          <w:tcPr>
            <w:tcW w:w="8073" w:type="dxa"/>
          </w:tcPr>
          <w:p w14:paraId="7FBEA072" w14:textId="77777777" w:rsidR="0070113B" w:rsidRDefault="0070113B" w:rsidP="0070113B">
            <w:r>
              <w:t>All nurses working under this standing order must be signed off as competent to do so by the issuer and have had specific training in this standing order.</w:t>
            </w:r>
          </w:p>
        </w:tc>
      </w:tr>
      <w:tr w:rsidR="0070113B" w14:paraId="632373B1" w14:textId="77777777" w:rsidTr="001162FE">
        <w:tc>
          <w:tcPr>
            <w:tcW w:w="2689" w:type="dxa"/>
          </w:tcPr>
          <w:p w14:paraId="53FBEBBB" w14:textId="77777777" w:rsidR="0070113B" w:rsidRPr="0064385C" w:rsidRDefault="0070113B" w:rsidP="0070113B">
            <w:pPr>
              <w:rPr>
                <w:b/>
              </w:rPr>
            </w:pPr>
            <w:r w:rsidRPr="0064385C">
              <w:rPr>
                <w:b/>
              </w:rPr>
              <w:t>Supporting documentation</w:t>
            </w:r>
          </w:p>
        </w:tc>
        <w:tc>
          <w:tcPr>
            <w:tcW w:w="8073" w:type="dxa"/>
          </w:tcPr>
          <w:p w14:paraId="028F3B68" w14:textId="77777777" w:rsidR="00476AA6" w:rsidRDefault="00476AA6" w:rsidP="00476AA6">
            <w:proofErr w:type="spellStart"/>
            <w:r>
              <w:t>Healthpathways</w:t>
            </w:r>
            <w:proofErr w:type="spellEnd"/>
            <w:r>
              <w:t xml:space="preserve"> at </w:t>
            </w:r>
            <w:hyperlink r:id="rId8" w:history="1">
              <w:r w:rsidRPr="00254A91">
                <w:rPr>
                  <w:rStyle w:val="Hyperlink"/>
                </w:rPr>
                <w:t>www.healthpathways.org.nz</w:t>
              </w:r>
            </w:hyperlink>
            <w:r>
              <w:t xml:space="preserve"> </w:t>
            </w:r>
          </w:p>
          <w:p w14:paraId="4BE6A96C" w14:textId="77777777" w:rsidR="00476AA6" w:rsidRDefault="00476AA6" w:rsidP="00476AA6">
            <w:r>
              <w:t xml:space="preserve">Best Practice Journal at </w:t>
            </w:r>
            <w:hyperlink r:id="rId9" w:history="1">
              <w:r w:rsidRPr="00254A91">
                <w:rPr>
                  <w:rStyle w:val="Hyperlink"/>
                </w:rPr>
                <w:t>www.bpac.org.nz</w:t>
              </w:r>
            </w:hyperlink>
            <w:r>
              <w:t xml:space="preserve"> </w:t>
            </w:r>
          </w:p>
          <w:p w14:paraId="6AFE6741" w14:textId="77777777" w:rsidR="00476AA6" w:rsidRDefault="00476AA6" w:rsidP="00476AA6">
            <w:r>
              <w:t xml:space="preserve">New Zealand Formulary at </w:t>
            </w:r>
            <w:hyperlink r:id="rId10" w:history="1">
              <w:r w:rsidRPr="00254A91">
                <w:rPr>
                  <w:rStyle w:val="Hyperlink"/>
                </w:rPr>
                <w:t>www.nzf.org.nz</w:t>
              </w:r>
            </w:hyperlink>
            <w:r>
              <w:t xml:space="preserve"> </w:t>
            </w:r>
          </w:p>
          <w:p w14:paraId="3CCC2359" w14:textId="77777777" w:rsidR="00476AA6" w:rsidRDefault="00476AA6" w:rsidP="00476AA6">
            <w:r>
              <w:t xml:space="preserve">Individual medicine data sheets at </w:t>
            </w:r>
            <w:hyperlink r:id="rId11" w:history="1">
              <w:r w:rsidRPr="00254A91">
                <w:rPr>
                  <w:rStyle w:val="Hyperlink"/>
                </w:rPr>
                <w:t>www.medsafe.govt.nz</w:t>
              </w:r>
            </w:hyperlink>
            <w:r>
              <w:t xml:space="preserve"> </w:t>
            </w:r>
          </w:p>
          <w:p w14:paraId="3D3F555D" w14:textId="77777777" w:rsidR="005216BC" w:rsidRDefault="00476AA6" w:rsidP="0070113B">
            <w:r>
              <w:t>Standing Order Guidelines, Ministry of Health, 2012</w:t>
            </w:r>
          </w:p>
          <w:p w14:paraId="7E74D52F" w14:textId="13E2A700" w:rsidR="00C62D39" w:rsidRDefault="00C62D39" w:rsidP="0070113B">
            <w:r>
              <w:t>Medicines (Standing Order) Regulations 2012 (Standing Order Regulations)</w:t>
            </w:r>
          </w:p>
        </w:tc>
      </w:tr>
      <w:tr w:rsidR="0070113B" w14:paraId="280AA8D8" w14:textId="77777777" w:rsidTr="001162FE">
        <w:tc>
          <w:tcPr>
            <w:tcW w:w="2689" w:type="dxa"/>
          </w:tcPr>
          <w:p w14:paraId="621A44CF" w14:textId="77777777" w:rsidR="0070113B" w:rsidRPr="0064385C" w:rsidRDefault="0070113B" w:rsidP="0070113B">
            <w:pPr>
              <w:rPr>
                <w:b/>
              </w:rPr>
            </w:pPr>
            <w:r w:rsidRPr="0064385C">
              <w:rPr>
                <w:b/>
              </w:rPr>
              <w:t>Definition of terms used in standing order</w:t>
            </w:r>
          </w:p>
        </w:tc>
        <w:tc>
          <w:tcPr>
            <w:tcW w:w="8073" w:type="dxa"/>
          </w:tcPr>
          <w:p w14:paraId="3EAB9A37" w14:textId="46FD7BFC" w:rsidR="00116EAA" w:rsidRPr="00116EAA" w:rsidRDefault="00116EAA" w:rsidP="0070113B">
            <w:proofErr w:type="spellStart"/>
            <w:r w:rsidRPr="00116EAA">
              <w:rPr>
                <w:u w:val="single"/>
              </w:rPr>
              <w:t>Dermatographism</w:t>
            </w:r>
            <w:proofErr w:type="spellEnd"/>
            <w:r>
              <w:t xml:space="preserve"> - </w:t>
            </w:r>
            <w:r w:rsidRPr="00116EAA">
              <w:t>a condition in which lightly touching or scratching the skin causes raised, reddish marks</w:t>
            </w:r>
          </w:p>
          <w:p w14:paraId="24CEAE8A" w14:textId="77777777" w:rsidR="0070113B" w:rsidRDefault="006C3B6C" w:rsidP="0070113B">
            <w:r w:rsidRPr="00DF4080">
              <w:rPr>
                <w:u w:val="single"/>
              </w:rPr>
              <w:t>Category B1</w:t>
            </w:r>
            <w:r>
              <w:t xml:space="preserve"> -Drugs which have been taken by only a limited number of pregnant women and women of childbearing age, without an increase in the frequency of malformation or other direct or indirect harmful effects on the human foetus having been observed. Studies in animals have not shown evidence of an increased occurrence of foetal damage.</w:t>
            </w:r>
          </w:p>
        </w:tc>
      </w:tr>
    </w:tbl>
    <w:p w14:paraId="3BFC2F99" w14:textId="77777777" w:rsidR="001162FE" w:rsidRDefault="001162FE"/>
    <w:p w14:paraId="54BAE536" w14:textId="77777777" w:rsidR="008C2A3F" w:rsidRDefault="008C2A3F"/>
    <w:tbl>
      <w:tblPr>
        <w:tblStyle w:val="TableGrid"/>
        <w:tblW w:w="0" w:type="auto"/>
        <w:tblLook w:val="04A0" w:firstRow="1" w:lastRow="0" w:firstColumn="1" w:lastColumn="0" w:noHBand="0" w:noVBand="1"/>
      </w:tblPr>
      <w:tblGrid>
        <w:gridCol w:w="2689"/>
        <w:gridCol w:w="8073"/>
      </w:tblGrid>
      <w:tr w:rsidR="008C2A3F" w14:paraId="6A68FCE8" w14:textId="77777777" w:rsidTr="00E85DF5">
        <w:tc>
          <w:tcPr>
            <w:tcW w:w="2689" w:type="dxa"/>
          </w:tcPr>
          <w:p w14:paraId="20F82049" w14:textId="77777777" w:rsidR="008C2A3F" w:rsidRPr="0064385C" w:rsidRDefault="008C2A3F" w:rsidP="00E85DF5">
            <w:pPr>
              <w:rPr>
                <w:b/>
              </w:rPr>
            </w:pPr>
            <w:r w:rsidRPr="0064385C">
              <w:rPr>
                <w:b/>
              </w:rPr>
              <w:t>Medical Centre or Clinic</w:t>
            </w:r>
            <w:r w:rsidR="0064385C" w:rsidRPr="0064385C">
              <w:rPr>
                <w:b/>
              </w:rPr>
              <w:t>:</w:t>
            </w:r>
          </w:p>
        </w:tc>
        <w:tc>
          <w:tcPr>
            <w:tcW w:w="8073" w:type="dxa"/>
          </w:tcPr>
          <w:p w14:paraId="69FB57ED" w14:textId="77777777" w:rsidR="008C2A3F" w:rsidRDefault="008C2A3F" w:rsidP="00E85DF5"/>
        </w:tc>
      </w:tr>
    </w:tbl>
    <w:p w14:paraId="58BB3A01" w14:textId="77777777" w:rsidR="001162FE" w:rsidRDefault="001162FE"/>
    <w:tbl>
      <w:tblPr>
        <w:tblStyle w:val="TableGrid"/>
        <w:tblW w:w="0" w:type="auto"/>
        <w:tblLook w:val="04A0" w:firstRow="1" w:lastRow="0" w:firstColumn="1" w:lastColumn="0" w:noHBand="0" w:noVBand="1"/>
      </w:tblPr>
      <w:tblGrid>
        <w:gridCol w:w="2122"/>
      </w:tblGrid>
      <w:tr w:rsidR="001162FE" w14:paraId="0952330A" w14:textId="77777777" w:rsidTr="00877CF2">
        <w:tc>
          <w:tcPr>
            <w:tcW w:w="2122" w:type="dxa"/>
          </w:tcPr>
          <w:p w14:paraId="21AD1D85" w14:textId="77777777" w:rsidR="001162FE" w:rsidRPr="0064385C" w:rsidRDefault="00877CF2">
            <w:pPr>
              <w:rPr>
                <w:b/>
              </w:rPr>
            </w:pPr>
            <w:r w:rsidRPr="0064385C">
              <w:rPr>
                <w:b/>
              </w:rPr>
              <w:t>Signed by issuers</w:t>
            </w:r>
          </w:p>
        </w:tc>
      </w:tr>
    </w:tbl>
    <w:p w14:paraId="317CB131" w14:textId="77777777" w:rsidR="001162FE" w:rsidRDefault="001162FE"/>
    <w:p w14:paraId="17A6853C" w14:textId="77777777" w:rsidR="001162FE" w:rsidRDefault="001162FE">
      <w:r>
        <w:t>Name:</w:t>
      </w:r>
      <w:r>
        <w:tab/>
        <w:t>____________________________</w:t>
      </w:r>
      <w:r>
        <w:tab/>
      </w:r>
      <w:r>
        <w:tab/>
        <w:t>Signature: __________________________</w:t>
      </w:r>
    </w:p>
    <w:p w14:paraId="6A521FDE" w14:textId="77777777" w:rsidR="001162FE" w:rsidRDefault="001162FE">
      <w:r>
        <w:t>Title:</w:t>
      </w:r>
      <w:r>
        <w:tab/>
        <w:t>____________________________</w:t>
      </w:r>
      <w:r>
        <w:tab/>
      </w:r>
      <w:r>
        <w:tab/>
        <w:t>Date: _________________</w:t>
      </w:r>
    </w:p>
    <w:tbl>
      <w:tblPr>
        <w:tblStyle w:val="TableGrid"/>
        <w:tblW w:w="0" w:type="auto"/>
        <w:tblLook w:val="04A0" w:firstRow="1" w:lastRow="0" w:firstColumn="1" w:lastColumn="0" w:noHBand="0" w:noVBand="1"/>
      </w:tblPr>
      <w:tblGrid>
        <w:gridCol w:w="4531"/>
      </w:tblGrid>
      <w:tr w:rsidR="001162FE" w14:paraId="12C566A6" w14:textId="77777777" w:rsidTr="0064385C">
        <w:trPr>
          <w:trHeight w:val="123"/>
        </w:trPr>
        <w:tc>
          <w:tcPr>
            <w:tcW w:w="4531" w:type="dxa"/>
          </w:tcPr>
          <w:p w14:paraId="6B9D7604" w14:textId="77777777" w:rsidR="001162FE" w:rsidRPr="0064385C" w:rsidRDefault="001162FE">
            <w:pPr>
              <w:rPr>
                <w:b/>
              </w:rPr>
            </w:pPr>
            <w:r w:rsidRPr="0064385C">
              <w:rPr>
                <w:b/>
              </w:rPr>
              <w:t>Nurses operating under this standing order</w:t>
            </w:r>
          </w:p>
        </w:tc>
      </w:tr>
    </w:tbl>
    <w:p w14:paraId="39FFB710" w14:textId="77777777" w:rsidR="001162FE" w:rsidRDefault="001162FE"/>
    <w:p w14:paraId="221EA29A" w14:textId="77777777" w:rsidR="0064385C" w:rsidRDefault="0064385C" w:rsidP="0064385C">
      <w:r>
        <w:t xml:space="preserve">Only Registered nurses working within the above medical centre or clinic are authorised to administer medication under this standing order. </w:t>
      </w:r>
    </w:p>
    <w:p w14:paraId="0C50B3DB" w14:textId="77777777" w:rsidR="001162FE" w:rsidRDefault="001162FE">
      <w:r>
        <w:t>We the undersigned agree that we have read, understood and will comply with this standing order and all associated documents.</w:t>
      </w:r>
    </w:p>
    <w:p w14:paraId="0F109E18" w14:textId="77777777" w:rsidR="001162FE" w:rsidRDefault="001162FE"/>
    <w:p w14:paraId="0B8DC7C7" w14:textId="77777777" w:rsidR="001162FE" w:rsidRDefault="001162FE">
      <w:r>
        <w:t>Name: ______________________   Signature: _________________________</w:t>
      </w:r>
      <w:proofErr w:type="gramStart"/>
      <w:r>
        <w:t>_  Date</w:t>
      </w:r>
      <w:proofErr w:type="gramEnd"/>
      <w:r>
        <w:t>: ______________</w:t>
      </w:r>
    </w:p>
    <w:p w14:paraId="5935D497" w14:textId="77777777" w:rsidR="001162FE" w:rsidRDefault="001162FE" w:rsidP="001162FE">
      <w:r>
        <w:t>Name: ______________________   Signature: _________________________</w:t>
      </w:r>
      <w:proofErr w:type="gramStart"/>
      <w:r>
        <w:t>_  Date</w:t>
      </w:r>
      <w:proofErr w:type="gramEnd"/>
      <w:r>
        <w:t>: ______________</w:t>
      </w:r>
    </w:p>
    <w:p w14:paraId="012980A6" w14:textId="77777777" w:rsidR="001162FE" w:rsidRDefault="001162FE" w:rsidP="001162FE">
      <w:r>
        <w:t>Name: ______________________   Signature: _________________________</w:t>
      </w:r>
      <w:proofErr w:type="gramStart"/>
      <w:r>
        <w:t>_  Date</w:t>
      </w:r>
      <w:proofErr w:type="gramEnd"/>
      <w:r>
        <w:t>: ______________</w:t>
      </w:r>
    </w:p>
    <w:p w14:paraId="303900FA" w14:textId="77777777" w:rsidR="001162FE" w:rsidRDefault="001162FE" w:rsidP="001162FE">
      <w:r>
        <w:t>Name: ______________________   Signature: _________________________</w:t>
      </w:r>
      <w:proofErr w:type="gramStart"/>
      <w:r>
        <w:t>_  Date</w:t>
      </w:r>
      <w:proofErr w:type="gramEnd"/>
      <w:r>
        <w:t>: ______________</w:t>
      </w:r>
    </w:p>
    <w:p w14:paraId="15E731CB" w14:textId="77777777" w:rsidR="001162FE" w:rsidRDefault="001162FE"/>
    <w:sectPr w:rsidR="001162FE" w:rsidSect="00D270A8">
      <w:footerReference w:type="default" r:id="rId12"/>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6C0A8" w14:textId="77777777" w:rsidR="00042E6C" w:rsidRDefault="00042E6C" w:rsidP="00C62D39">
      <w:pPr>
        <w:spacing w:after="0" w:line="240" w:lineRule="auto"/>
      </w:pPr>
      <w:r>
        <w:separator/>
      </w:r>
    </w:p>
  </w:endnote>
  <w:endnote w:type="continuationSeparator" w:id="0">
    <w:p w14:paraId="144BBE4F" w14:textId="77777777" w:rsidR="00042E6C" w:rsidRDefault="00042E6C" w:rsidP="00C6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26D54" w14:textId="225E669C" w:rsidR="00042E6C" w:rsidRDefault="00042E6C">
    <w:pPr>
      <w:pStyle w:val="Footer"/>
    </w:pPr>
    <w:r>
      <w:t>Hives Standing Order</w:t>
    </w:r>
    <w:r>
      <w:tab/>
      <w:t>October 2015</w:t>
    </w:r>
    <w:r>
      <w:tab/>
      <w:t>WellSouth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708DE" w14:textId="77777777" w:rsidR="00042E6C" w:rsidRDefault="00042E6C" w:rsidP="00C62D39">
      <w:pPr>
        <w:spacing w:after="0" w:line="240" w:lineRule="auto"/>
      </w:pPr>
      <w:r>
        <w:separator/>
      </w:r>
    </w:p>
  </w:footnote>
  <w:footnote w:type="continuationSeparator" w:id="0">
    <w:p w14:paraId="28003225" w14:textId="77777777" w:rsidR="00042E6C" w:rsidRDefault="00042E6C" w:rsidP="00C62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57DEC"/>
    <w:multiLevelType w:val="hybridMultilevel"/>
    <w:tmpl w:val="1E366F0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4D727FD"/>
    <w:multiLevelType w:val="hybridMultilevel"/>
    <w:tmpl w:val="6B74E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6F84F15"/>
    <w:multiLevelType w:val="hybridMultilevel"/>
    <w:tmpl w:val="49664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42E6C"/>
    <w:rsid w:val="000E47A6"/>
    <w:rsid w:val="001162FE"/>
    <w:rsid w:val="00116EAA"/>
    <w:rsid w:val="00123A68"/>
    <w:rsid w:val="002A4F5D"/>
    <w:rsid w:val="00476AA6"/>
    <w:rsid w:val="004C22D3"/>
    <w:rsid w:val="004E69A4"/>
    <w:rsid w:val="005216BC"/>
    <w:rsid w:val="00560F8B"/>
    <w:rsid w:val="0064385C"/>
    <w:rsid w:val="006C3B6C"/>
    <w:rsid w:val="0070113B"/>
    <w:rsid w:val="00774026"/>
    <w:rsid w:val="00853012"/>
    <w:rsid w:val="00877CF2"/>
    <w:rsid w:val="008C2A3F"/>
    <w:rsid w:val="00AE6D25"/>
    <w:rsid w:val="00B14947"/>
    <w:rsid w:val="00C62D39"/>
    <w:rsid w:val="00C734E7"/>
    <w:rsid w:val="00CD17AA"/>
    <w:rsid w:val="00D270A8"/>
    <w:rsid w:val="00D82CC2"/>
    <w:rsid w:val="00D90B42"/>
    <w:rsid w:val="00E06E0A"/>
    <w:rsid w:val="00E85D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43B9"/>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ListParagraph">
    <w:name w:val="List Paragraph"/>
    <w:basedOn w:val="Normal"/>
    <w:uiPriority w:val="34"/>
    <w:qFormat/>
    <w:rsid w:val="00CD17AA"/>
    <w:pPr>
      <w:ind w:left="720"/>
      <w:contextualSpacing/>
    </w:pPr>
  </w:style>
  <w:style w:type="character" w:styleId="CommentReference">
    <w:name w:val="annotation reference"/>
    <w:basedOn w:val="DefaultParagraphFont"/>
    <w:uiPriority w:val="99"/>
    <w:semiHidden/>
    <w:unhideWhenUsed/>
    <w:rsid w:val="00E06E0A"/>
    <w:rPr>
      <w:sz w:val="16"/>
      <w:szCs w:val="16"/>
    </w:rPr>
  </w:style>
  <w:style w:type="paragraph" w:styleId="CommentText">
    <w:name w:val="annotation text"/>
    <w:basedOn w:val="Normal"/>
    <w:link w:val="CommentTextChar"/>
    <w:uiPriority w:val="99"/>
    <w:semiHidden/>
    <w:unhideWhenUsed/>
    <w:rsid w:val="00E06E0A"/>
    <w:pPr>
      <w:spacing w:line="240" w:lineRule="auto"/>
    </w:pPr>
    <w:rPr>
      <w:sz w:val="20"/>
      <w:szCs w:val="20"/>
    </w:rPr>
  </w:style>
  <w:style w:type="character" w:customStyle="1" w:styleId="CommentTextChar">
    <w:name w:val="Comment Text Char"/>
    <w:basedOn w:val="DefaultParagraphFont"/>
    <w:link w:val="CommentText"/>
    <w:uiPriority w:val="99"/>
    <w:semiHidden/>
    <w:rsid w:val="00E06E0A"/>
    <w:rPr>
      <w:sz w:val="20"/>
      <w:szCs w:val="20"/>
    </w:rPr>
  </w:style>
  <w:style w:type="paragraph" w:styleId="CommentSubject">
    <w:name w:val="annotation subject"/>
    <w:basedOn w:val="CommentText"/>
    <w:next w:val="CommentText"/>
    <w:link w:val="CommentSubjectChar"/>
    <w:uiPriority w:val="99"/>
    <w:semiHidden/>
    <w:unhideWhenUsed/>
    <w:rsid w:val="00E06E0A"/>
    <w:rPr>
      <w:b/>
      <w:bCs/>
    </w:rPr>
  </w:style>
  <w:style w:type="character" w:customStyle="1" w:styleId="CommentSubjectChar">
    <w:name w:val="Comment Subject Char"/>
    <w:basedOn w:val="CommentTextChar"/>
    <w:link w:val="CommentSubject"/>
    <w:uiPriority w:val="99"/>
    <w:semiHidden/>
    <w:rsid w:val="00E06E0A"/>
    <w:rPr>
      <w:b/>
      <w:bCs/>
      <w:sz w:val="20"/>
      <w:szCs w:val="20"/>
    </w:rPr>
  </w:style>
  <w:style w:type="paragraph" w:styleId="BalloonText">
    <w:name w:val="Balloon Text"/>
    <w:basedOn w:val="Normal"/>
    <w:link w:val="BalloonTextChar"/>
    <w:uiPriority w:val="99"/>
    <w:semiHidden/>
    <w:unhideWhenUsed/>
    <w:rsid w:val="00E06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0A"/>
    <w:rPr>
      <w:rFonts w:ascii="Segoe UI" w:hAnsi="Segoe UI" w:cs="Segoe UI"/>
      <w:sz w:val="18"/>
      <w:szCs w:val="18"/>
    </w:rPr>
  </w:style>
  <w:style w:type="paragraph" w:styleId="Header">
    <w:name w:val="header"/>
    <w:basedOn w:val="Normal"/>
    <w:link w:val="HeaderChar"/>
    <w:uiPriority w:val="99"/>
    <w:unhideWhenUsed/>
    <w:rsid w:val="00C62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D39"/>
  </w:style>
  <w:style w:type="paragraph" w:styleId="Footer">
    <w:name w:val="footer"/>
    <w:basedOn w:val="Normal"/>
    <w:link w:val="FooterChar"/>
    <w:uiPriority w:val="99"/>
    <w:unhideWhenUsed/>
    <w:rsid w:val="00C62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D39"/>
  </w:style>
  <w:style w:type="paragraph" w:styleId="Revision">
    <w:name w:val="Revision"/>
    <w:hidden/>
    <w:uiPriority w:val="99"/>
    <w:semiHidden/>
    <w:rsid w:val="00774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athways.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safe.govt.nz" TargetMode="External"/><Relationship Id="rId5" Type="http://schemas.openxmlformats.org/officeDocument/2006/relationships/footnotes" Target="footnotes.xml"/><Relationship Id="rId10" Type="http://schemas.openxmlformats.org/officeDocument/2006/relationships/hyperlink" Target="http://www.nzf.org.nz" TargetMode="External"/><Relationship Id="rId4" Type="http://schemas.openxmlformats.org/officeDocument/2006/relationships/webSettings" Target="webSettings.xml"/><Relationship Id="rId9" Type="http://schemas.openxmlformats.org/officeDocument/2006/relationships/hyperlink" Target="http://www.bpac.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83AABDC1</Template>
  <TotalTime>4</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Lisa Johnston</cp:lastModifiedBy>
  <cp:revision>3</cp:revision>
  <dcterms:created xsi:type="dcterms:W3CDTF">2015-12-09T22:41:00Z</dcterms:created>
  <dcterms:modified xsi:type="dcterms:W3CDTF">2015-12-10T21:57:00Z</dcterms:modified>
</cp:coreProperties>
</file>