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45F2" w14:textId="320A9286" w:rsidR="00A2134B" w:rsidRDefault="00B00A44" w:rsidP="00A2134B">
      <w:pPr>
        <w:jc w:val="right"/>
        <w:rPr>
          <w:b/>
          <w:sz w:val="28"/>
          <w:szCs w:val="28"/>
        </w:rPr>
      </w:pPr>
      <w:r>
        <w:rPr>
          <w:b/>
          <w:sz w:val="28"/>
          <w:szCs w:val="28"/>
        </w:rPr>
        <w:t xml:space="preserve">         </w:t>
      </w:r>
      <w:r w:rsidR="00A2134B" w:rsidRPr="00123A68">
        <w:rPr>
          <w:noProof/>
          <w:lang w:eastAsia="en-NZ"/>
        </w:rPr>
        <w:drawing>
          <wp:inline distT="0" distB="0" distL="0" distR="0" wp14:anchorId="5AA3DEE4" wp14:editId="5BAAC437">
            <wp:extent cx="1866900" cy="622184"/>
            <wp:effectExtent l="0" t="0" r="0" b="6985"/>
            <wp:docPr id="2" name="Picture 2" descr="L:\WellSouth Stationery\Logos\Colour\WS_logo_horizontal\Wellsouth_horizontal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llSouth Stationery\Logos\Colour\WS_logo_horizontal\Wellsouth_horizontal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400" cy="643013"/>
                    </a:xfrm>
                    <a:prstGeom prst="rect">
                      <a:avLst/>
                    </a:prstGeom>
                    <a:noFill/>
                    <a:ln>
                      <a:noFill/>
                    </a:ln>
                  </pic:spPr>
                </pic:pic>
              </a:graphicData>
            </a:graphic>
          </wp:inline>
        </w:drawing>
      </w:r>
    </w:p>
    <w:p w14:paraId="4DBA5B6F" w14:textId="482C4A18" w:rsidR="00A2134B" w:rsidRDefault="00A2134B" w:rsidP="00B00A44">
      <w:pPr>
        <w:jc w:val="center"/>
        <w:rPr>
          <w:b/>
          <w:sz w:val="28"/>
          <w:szCs w:val="28"/>
        </w:rPr>
      </w:pPr>
      <w:r>
        <w:rPr>
          <w:b/>
          <w:sz w:val="28"/>
          <w:szCs w:val="28"/>
        </w:rPr>
        <w:t>Standing Order</w:t>
      </w:r>
    </w:p>
    <w:p w14:paraId="084C3B31" w14:textId="413667B1" w:rsidR="00B00A44" w:rsidRDefault="00B00A44" w:rsidP="00B00A44">
      <w:pPr>
        <w:jc w:val="center"/>
        <w:rPr>
          <w:b/>
          <w:sz w:val="28"/>
          <w:szCs w:val="28"/>
        </w:rPr>
      </w:pPr>
      <w:r>
        <w:rPr>
          <w:b/>
          <w:sz w:val="28"/>
          <w:szCs w:val="28"/>
        </w:rPr>
        <w:t xml:space="preserve">Administration of </w:t>
      </w:r>
      <w:r w:rsidR="00EA77AD">
        <w:rPr>
          <w:b/>
          <w:sz w:val="28"/>
          <w:szCs w:val="28"/>
        </w:rPr>
        <w:t>Tdap vaccine to non-schedule population</w:t>
      </w:r>
      <w:r>
        <w:rPr>
          <w:b/>
          <w:sz w:val="28"/>
          <w:szCs w:val="28"/>
        </w:rPr>
        <w:t xml:space="preserve"> </w:t>
      </w:r>
    </w:p>
    <w:tbl>
      <w:tblPr>
        <w:tblStyle w:val="TableGrid"/>
        <w:tblW w:w="0" w:type="auto"/>
        <w:jc w:val="center"/>
        <w:tblLook w:val="04A0" w:firstRow="1" w:lastRow="0" w:firstColumn="1" w:lastColumn="0" w:noHBand="0" w:noVBand="1"/>
      </w:tblPr>
      <w:tblGrid>
        <w:gridCol w:w="1555"/>
        <w:gridCol w:w="1984"/>
        <w:gridCol w:w="1843"/>
        <w:gridCol w:w="2268"/>
      </w:tblGrid>
      <w:tr w:rsidR="00B00A44" w14:paraId="6C07CC7D" w14:textId="77777777" w:rsidTr="00C116AA">
        <w:trPr>
          <w:jc w:val="center"/>
        </w:trPr>
        <w:tc>
          <w:tcPr>
            <w:tcW w:w="1555" w:type="dxa"/>
          </w:tcPr>
          <w:p w14:paraId="6F8779AD" w14:textId="19837FCE" w:rsidR="00B00A44" w:rsidRDefault="00B00A44" w:rsidP="00C116AA">
            <w:r>
              <w:t>Issue date:</w:t>
            </w:r>
          </w:p>
        </w:tc>
        <w:tc>
          <w:tcPr>
            <w:tcW w:w="1984" w:type="dxa"/>
          </w:tcPr>
          <w:p w14:paraId="3B53C880" w14:textId="77777777" w:rsidR="00B00A44" w:rsidRDefault="00B00A44" w:rsidP="00C116AA"/>
        </w:tc>
        <w:tc>
          <w:tcPr>
            <w:tcW w:w="1843" w:type="dxa"/>
          </w:tcPr>
          <w:p w14:paraId="183FAAA6" w14:textId="77777777" w:rsidR="00B00A44" w:rsidRDefault="00B00A44" w:rsidP="00C116AA">
            <w:r>
              <w:t>Review date:</w:t>
            </w:r>
          </w:p>
        </w:tc>
        <w:tc>
          <w:tcPr>
            <w:tcW w:w="2268" w:type="dxa"/>
          </w:tcPr>
          <w:p w14:paraId="5D82551B" w14:textId="77777777" w:rsidR="00B00A44" w:rsidRDefault="00B00A44" w:rsidP="00C116AA"/>
        </w:tc>
      </w:tr>
    </w:tbl>
    <w:p w14:paraId="023CD5E5" w14:textId="77777777" w:rsidR="00B00A44" w:rsidRDefault="00B00A44" w:rsidP="00B00A44"/>
    <w:p w14:paraId="72E656AE" w14:textId="77777777" w:rsidR="00B00A44" w:rsidRDefault="00B00A44" w:rsidP="00B00A44">
      <w:r>
        <w:t>This standing order is not valid after the review date. The review date is one year after the date the order was signed by the issuer.</w:t>
      </w:r>
    </w:p>
    <w:tbl>
      <w:tblPr>
        <w:tblStyle w:val="TableGrid"/>
        <w:tblW w:w="0" w:type="auto"/>
        <w:tblLook w:val="04A0" w:firstRow="1" w:lastRow="0" w:firstColumn="1" w:lastColumn="0" w:noHBand="0" w:noVBand="1"/>
      </w:tblPr>
      <w:tblGrid>
        <w:gridCol w:w="2689"/>
        <w:gridCol w:w="8073"/>
      </w:tblGrid>
      <w:tr w:rsidR="00B00A44" w14:paraId="53E27F8E" w14:textId="77777777" w:rsidTr="00C116AA">
        <w:tc>
          <w:tcPr>
            <w:tcW w:w="2689" w:type="dxa"/>
          </w:tcPr>
          <w:p w14:paraId="09983CAA" w14:textId="77777777" w:rsidR="00B00A44" w:rsidRPr="0064385C" w:rsidRDefault="00B00A44" w:rsidP="00C116AA">
            <w:pPr>
              <w:rPr>
                <w:b/>
              </w:rPr>
            </w:pPr>
            <w:r w:rsidRPr="0064385C">
              <w:rPr>
                <w:b/>
              </w:rPr>
              <w:t>Standing Order Name</w:t>
            </w:r>
          </w:p>
        </w:tc>
        <w:tc>
          <w:tcPr>
            <w:tcW w:w="8073" w:type="dxa"/>
          </w:tcPr>
          <w:p w14:paraId="305BFC15" w14:textId="1A8A77B1" w:rsidR="00B00A44" w:rsidRDefault="001A3B54" w:rsidP="001A3B54">
            <w:r>
              <w:t xml:space="preserve">Administration of </w:t>
            </w:r>
            <w:r w:rsidR="00EA77AD">
              <w:t>Tdap v</w:t>
            </w:r>
            <w:r>
              <w:t>accine</w:t>
            </w:r>
            <w:r w:rsidR="00B00A44">
              <w:t xml:space="preserve"> </w:t>
            </w:r>
            <w:r w:rsidR="00A2134B">
              <w:t>to non-schedule population</w:t>
            </w:r>
            <w:r>
              <w:t xml:space="preserve"> </w:t>
            </w:r>
          </w:p>
        </w:tc>
      </w:tr>
      <w:tr w:rsidR="00B00A44" w14:paraId="0F7FB000" w14:textId="77777777" w:rsidTr="00C116AA">
        <w:tc>
          <w:tcPr>
            <w:tcW w:w="2689" w:type="dxa"/>
          </w:tcPr>
          <w:p w14:paraId="334440D4" w14:textId="77777777" w:rsidR="00B00A44" w:rsidRPr="0064385C" w:rsidRDefault="00B00A44" w:rsidP="00C116AA">
            <w:pPr>
              <w:rPr>
                <w:b/>
              </w:rPr>
            </w:pPr>
            <w:r w:rsidRPr="0064385C">
              <w:rPr>
                <w:b/>
              </w:rPr>
              <w:t>Rationale</w:t>
            </w:r>
          </w:p>
        </w:tc>
        <w:tc>
          <w:tcPr>
            <w:tcW w:w="8073" w:type="dxa"/>
          </w:tcPr>
          <w:p w14:paraId="64495F39" w14:textId="77777777" w:rsidR="00D06E48" w:rsidRDefault="00D06E48" w:rsidP="00DA1274">
            <w:pPr>
              <w:jc w:val="both"/>
            </w:pPr>
            <w:r w:rsidRPr="00D06E48">
              <w:t>The goal of the pertussis immunisation programme is to protect those most at risk of developing severe disease; that is, infants in the ﬁrst year of life. Two key strategies for reducing the burden of disease in infants are the administration of Tdap vaccination during pregnancy and on</w:t>
            </w:r>
            <w:r>
              <w:t xml:space="preserve"> </w:t>
            </w:r>
            <w:r w:rsidRPr="00D06E48">
              <w:t xml:space="preserve">time infant immunisation. Infants can be protected by immunisation of others at risk of developing pertussis, with whom the infant may come into contact. The ‘cocoon strategy’ is the term used to describe the protection of infants by immunising those who are potential sources of B. pertussis. This involves the targeted immunisation of adult groups who have the most contact with young and vulnerable infants. Three identified groups are </w:t>
            </w:r>
          </w:p>
          <w:p w14:paraId="6B99F3B5" w14:textId="14BC40CB" w:rsidR="00D06E48" w:rsidRDefault="00D06E48" w:rsidP="00DA1274">
            <w:pPr>
              <w:jc w:val="both"/>
            </w:pPr>
            <w:r w:rsidRPr="00D06E48">
              <w:t xml:space="preserve">(1) new mothers who have not had recent immunisation, family, and close contacts of </w:t>
            </w:r>
            <w:proofErr w:type="spellStart"/>
            <w:r w:rsidRPr="00D06E48">
              <w:t>newborns</w:t>
            </w:r>
            <w:proofErr w:type="spellEnd"/>
          </w:p>
          <w:p w14:paraId="5A3EC972" w14:textId="150E7747" w:rsidR="00D06E48" w:rsidRDefault="00D06E48" w:rsidP="00DA1274">
            <w:pPr>
              <w:jc w:val="both"/>
            </w:pPr>
            <w:r w:rsidRPr="00D06E48">
              <w:t xml:space="preserve">(2) health care workers and </w:t>
            </w:r>
          </w:p>
          <w:p w14:paraId="7E11E4B3" w14:textId="0C274996" w:rsidR="00B00A44" w:rsidRDefault="00D06E48" w:rsidP="00DA1274">
            <w:pPr>
              <w:jc w:val="both"/>
            </w:pPr>
            <w:r w:rsidRPr="00D06E48">
              <w:t>(3) early childhood workers.</w:t>
            </w:r>
          </w:p>
        </w:tc>
      </w:tr>
      <w:tr w:rsidR="00B00A44" w14:paraId="62AE223F" w14:textId="77777777" w:rsidTr="00C116AA">
        <w:tc>
          <w:tcPr>
            <w:tcW w:w="2689" w:type="dxa"/>
          </w:tcPr>
          <w:p w14:paraId="308FA4FA" w14:textId="77777777" w:rsidR="00B00A44" w:rsidRPr="0064385C" w:rsidRDefault="00B00A44" w:rsidP="00C116AA">
            <w:pPr>
              <w:rPr>
                <w:b/>
              </w:rPr>
            </w:pPr>
            <w:r w:rsidRPr="0064385C">
              <w:rPr>
                <w:b/>
              </w:rPr>
              <w:t>Scope (condition and patient group)</w:t>
            </w:r>
          </w:p>
        </w:tc>
        <w:tc>
          <w:tcPr>
            <w:tcW w:w="8073" w:type="dxa"/>
          </w:tcPr>
          <w:p w14:paraId="672D0C16" w14:textId="77777777" w:rsidR="00D06E48" w:rsidRDefault="00D06E48" w:rsidP="00D06E48">
            <w:r>
              <w:t>The Immunisation Handbook 2017 states:</w:t>
            </w:r>
          </w:p>
          <w:p w14:paraId="46358CC5" w14:textId="77777777" w:rsidR="00D06E48" w:rsidRPr="00DA1274" w:rsidRDefault="00D06E48" w:rsidP="00D06E48">
            <w:r w:rsidRPr="00DA1274">
              <w:t xml:space="preserve">Tdap is recommended but not funded for: </w:t>
            </w:r>
          </w:p>
          <w:p w14:paraId="0F66472C" w14:textId="77777777" w:rsidR="00D06E48" w:rsidRPr="00DA1274" w:rsidRDefault="00D06E48" w:rsidP="00D06E48">
            <w:r w:rsidRPr="00DA1274">
              <w:t xml:space="preserve">• lead maternity carers and other health care personnel who work in neonatal units and other clinical settings (such as GPs and practice nurses), where they are exposed to infants, especially those with respiratory, cardiac, neurological or other co-morbid conditions (with a booster dose at 10-year intervals) </w:t>
            </w:r>
          </w:p>
          <w:p w14:paraId="61C52226" w14:textId="7DB9C97D" w:rsidR="00D06E48" w:rsidRPr="00DA1274" w:rsidRDefault="00D06E48" w:rsidP="00D06E48">
            <w:r w:rsidRPr="00DA1274">
              <w:t xml:space="preserve">• household contacts of </w:t>
            </w:r>
            <w:proofErr w:type="spellStart"/>
            <w:r w:rsidRPr="00DA1274">
              <w:t>newborns</w:t>
            </w:r>
            <w:proofErr w:type="spellEnd"/>
            <w:r w:rsidRPr="00DA1274">
              <w:t xml:space="preserve">, including adult household and other close contacts (contacts who are aged under 18 years and who are unimmunised or incompletely immunised for their age can receive funded pertussis vaccine </w:t>
            </w:r>
          </w:p>
          <w:p w14:paraId="62BBEA5D" w14:textId="77777777" w:rsidR="00D06E48" w:rsidRPr="00DA1274" w:rsidRDefault="00D06E48" w:rsidP="00D06E48">
            <w:r w:rsidRPr="00DA1274">
              <w:t xml:space="preserve">• early childhood workers (with a booster dose at 10-year intervals), although the priority is to ensure all children attending child care have received age-appropriate vaccination </w:t>
            </w:r>
          </w:p>
          <w:p w14:paraId="0D4D1F15" w14:textId="5B73B42C" w:rsidR="00B00A44" w:rsidRDefault="00D06E48" w:rsidP="00601D00">
            <w:r w:rsidRPr="00DA1274">
              <w:t>• wound care</w:t>
            </w:r>
          </w:p>
        </w:tc>
      </w:tr>
      <w:tr w:rsidR="00DA1274" w14:paraId="0498689B" w14:textId="77777777" w:rsidTr="00C116AA">
        <w:tc>
          <w:tcPr>
            <w:tcW w:w="2689" w:type="dxa"/>
          </w:tcPr>
          <w:p w14:paraId="15E9F4E8" w14:textId="58B11A0C" w:rsidR="00DA1274" w:rsidRDefault="00DA1274" w:rsidP="00C116AA">
            <w:pPr>
              <w:rPr>
                <w:b/>
              </w:rPr>
            </w:pPr>
            <w:r>
              <w:rPr>
                <w:b/>
              </w:rPr>
              <w:t>Assessment</w:t>
            </w:r>
          </w:p>
        </w:tc>
        <w:tc>
          <w:tcPr>
            <w:tcW w:w="8073" w:type="dxa"/>
          </w:tcPr>
          <w:p w14:paraId="39EA46CA" w14:textId="255DC7B0" w:rsidR="00DA1274" w:rsidRDefault="00DA1274" w:rsidP="00DA1274">
            <w:pPr>
              <w:pStyle w:val="ListParagraph"/>
              <w:numPr>
                <w:ilvl w:val="0"/>
                <w:numId w:val="3"/>
              </w:numPr>
            </w:pPr>
            <w:r>
              <w:t>Check whether a primary course of a pertussis containing vaccine been administered</w:t>
            </w:r>
          </w:p>
          <w:p w14:paraId="6E75955E" w14:textId="200156DF" w:rsidR="00DA1274" w:rsidRDefault="00DA1274" w:rsidP="00DA1274">
            <w:pPr>
              <w:pStyle w:val="ListParagraph"/>
              <w:numPr>
                <w:ilvl w:val="0"/>
                <w:numId w:val="3"/>
              </w:numPr>
            </w:pPr>
            <w:r>
              <w:t>Check when the last dose</w:t>
            </w:r>
            <w:r w:rsidR="006E59D0">
              <w:t xml:space="preserve"> was administered</w:t>
            </w:r>
          </w:p>
          <w:p w14:paraId="4B653468" w14:textId="18C29CF5" w:rsidR="00DA1274" w:rsidRDefault="00DA1274" w:rsidP="00DA1274">
            <w:pPr>
              <w:pStyle w:val="ListParagraph"/>
              <w:numPr>
                <w:ilvl w:val="0"/>
                <w:numId w:val="3"/>
              </w:numPr>
            </w:pPr>
            <w:r>
              <w:t>Check whether the person has any contraindications to the vaccine</w:t>
            </w:r>
          </w:p>
        </w:tc>
      </w:tr>
      <w:tr w:rsidR="00B00A44" w14:paraId="1C57EBF6" w14:textId="77777777" w:rsidTr="00C116AA">
        <w:tc>
          <w:tcPr>
            <w:tcW w:w="2689" w:type="dxa"/>
          </w:tcPr>
          <w:p w14:paraId="186A3451" w14:textId="77777777" w:rsidR="00B00A44" w:rsidRPr="0064385C" w:rsidRDefault="00B00A44" w:rsidP="00C116AA">
            <w:pPr>
              <w:rPr>
                <w:b/>
              </w:rPr>
            </w:pPr>
            <w:r>
              <w:rPr>
                <w:b/>
              </w:rPr>
              <w:t>Indication</w:t>
            </w:r>
          </w:p>
        </w:tc>
        <w:tc>
          <w:tcPr>
            <w:tcW w:w="8073" w:type="dxa"/>
          </w:tcPr>
          <w:p w14:paraId="58B7C045" w14:textId="3F6AA658" w:rsidR="00B00A44" w:rsidRDefault="006E59D0" w:rsidP="00DA1274">
            <w:r>
              <w:t>I</w:t>
            </w:r>
            <w:r w:rsidR="00DA1274">
              <w:t xml:space="preserve">mmunity to pertussis </w:t>
            </w:r>
            <w:r>
              <w:t>required</w:t>
            </w:r>
          </w:p>
        </w:tc>
      </w:tr>
      <w:tr w:rsidR="00B00A44" w14:paraId="2DA582D3" w14:textId="77777777" w:rsidTr="00C116AA">
        <w:tc>
          <w:tcPr>
            <w:tcW w:w="2689" w:type="dxa"/>
          </w:tcPr>
          <w:p w14:paraId="74040E7C" w14:textId="77777777" w:rsidR="00B00A44" w:rsidRPr="0064385C" w:rsidRDefault="00B00A44" w:rsidP="00C116AA">
            <w:pPr>
              <w:rPr>
                <w:b/>
              </w:rPr>
            </w:pPr>
            <w:r w:rsidRPr="0064385C">
              <w:rPr>
                <w:b/>
              </w:rPr>
              <w:t>Medicine</w:t>
            </w:r>
          </w:p>
        </w:tc>
        <w:tc>
          <w:tcPr>
            <w:tcW w:w="8073" w:type="dxa"/>
          </w:tcPr>
          <w:p w14:paraId="5AACAE3F" w14:textId="44AE08AE" w:rsidR="00B00A44" w:rsidRDefault="00D06E48" w:rsidP="00C116AA">
            <w:r>
              <w:t>Td</w:t>
            </w:r>
            <w:r w:rsidR="00EA77AD">
              <w:t xml:space="preserve">ap vaccine (trade names </w:t>
            </w:r>
            <w:proofErr w:type="spellStart"/>
            <w:r w:rsidR="00EA77AD">
              <w:t>Boostrix</w:t>
            </w:r>
            <w:proofErr w:type="spellEnd"/>
            <w:r w:rsidR="00EA77AD">
              <w:t xml:space="preserve"> or </w:t>
            </w:r>
            <w:proofErr w:type="spellStart"/>
            <w:r w:rsidR="00EA77AD">
              <w:t>Adacel</w:t>
            </w:r>
            <w:proofErr w:type="spellEnd"/>
            <w:r w:rsidR="00EA77AD">
              <w:t>)</w:t>
            </w:r>
          </w:p>
        </w:tc>
      </w:tr>
      <w:tr w:rsidR="00B00A44" w14:paraId="34A0D4E9" w14:textId="77777777" w:rsidTr="00C116AA">
        <w:tc>
          <w:tcPr>
            <w:tcW w:w="2689" w:type="dxa"/>
          </w:tcPr>
          <w:p w14:paraId="4198AD9F" w14:textId="77777777" w:rsidR="00B00A44" w:rsidRPr="0064385C" w:rsidRDefault="00B00A44" w:rsidP="00C116AA">
            <w:pPr>
              <w:rPr>
                <w:b/>
              </w:rPr>
            </w:pPr>
            <w:r w:rsidRPr="0064385C">
              <w:rPr>
                <w:b/>
              </w:rPr>
              <w:t>Dosage instructions</w:t>
            </w:r>
          </w:p>
        </w:tc>
        <w:tc>
          <w:tcPr>
            <w:tcW w:w="8073" w:type="dxa"/>
          </w:tcPr>
          <w:p w14:paraId="194985DB" w14:textId="0F8DA754" w:rsidR="00B00A44" w:rsidRDefault="00EA77AD" w:rsidP="00C116AA">
            <w:r>
              <w:t xml:space="preserve">One 0.5ml </w:t>
            </w:r>
            <w:r w:rsidR="00D06E48">
              <w:t>pre filled syringe</w:t>
            </w:r>
          </w:p>
        </w:tc>
      </w:tr>
      <w:tr w:rsidR="00B00A44" w14:paraId="287ABEBC" w14:textId="77777777" w:rsidTr="00C116AA">
        <w:tc>
          <w:tcPr>
            <w:tcW w:w="2689" w:type="dxa"/>
          </w:tcPr>
          <w:p w14:paraId="1914CAE2" w14:textId="77777777" w:rsidR="00B00A44" w:rsidRPr="0064385C" w:rsidRDefault="00B00A44" w:rsidP="00C116AA">
            <w:pPr>
              <w:rPr>
                <w:b/>
              </w:rPr>
            </w:pPr>
            <w:r w:rsidRPr="0064385C">
              <w:rPr>
                <w:b/>
              </w:rPr>
              <w:t>Route of administration</w:t>
            </w:r>
          </w:p>
        </w:tc>
        <w:tc>
          <w:tcPr>
            <w:tcW w:w="8073" w:type="dxa"/>
          </w:tcPr>
          <w:p w14:paraId="4DB80A94" w14:textId="7302718C" w:rsidR="00B00A44" w:rsidRDefault="00EA77AD" w:rsidP="00C116AA">
            <w:r>
              <w:t>IM Deltoid</w:t>
            </w:r>
            <w:r w:rsidR="00171F38">
              <w:t xml:space="preserve"> </w:t>
            </w:r>
          </w:p>
        </w:tc>
      </w:tr>
      <w:tr w:rsidR="00B00A44" w14:paraId="25E4FCCF" w14:textId="77777777" w:rsidTr="00C116AA">
        <w:tc>
          <w:tcPr>
            <w:tcW w:w="2689" w:type="dxa"/>
          </w:tcPr>
          <w:p w14:paraId="07F40C84" w14:textId="77777777" w:rsidR="00B00A44" w:rsidRPr="0064385C" w:rsidRDefault="00B00A44" w:rsidP="00C116AA">
            <w:pPr>
              <w:rPr>
                <w:b/>
              </w:rPr>
            </w:pPr>
            <w:r>
              <w:rPr>
                <w:b/>
              </w:rPr>
              <w:t>Quantity to be given</w:t>
            </w:r>
          </w:p>
        </w:tc>
        <w:tc>
          <w:tcPr>
            <w:tcW w:w="8073" w:type="dxa"/>
          </w:tcPr>
          <w:p w14:paraId="3890CBBE" w14:textId="53E958BD" w:rsidR="00B00A44" w:rsidRDefault="00B00A44" w:rsidP="00C116AA">
            <w:r>
              <w:t xml:space="preserve">One </w:t>
            </w:r>
            <w:r w:rsidR="00A62DF1">
              <w:t>dose</w:t>
            </w:r>
          </w:p>
        </w:tc>
      </w:tr>
      <w:tr w:rsidR="00B00A44" w14:paraId="7FFE33F0" w14:textId="77777777" w:rsidTr="00C116AA">
        <w:tc>
          <w:tcPr>
            <w:tcW w:w="2689" w:type="dxa"/>
          </w:tcPr>
          <w:p w14:paraId="5CC3614C" w14:textId="77777777" w:rsidR="00B00A44" w:rsidRPr="0064385C" w:rsidRDefault="00B00A44" w:rsidP="00C116AA">
            <w:pPr>
              <w:rPr>
                <w:b/>
              </w:rPr>
            </w:pPr>
            <w:r w:rsidRPr="0064385C">
              <w:rPr>
                <w:b/>
              </w:rPr>
              <w:t>Contraindications</w:t>
            </w:r>
          </w:p>
        </w:tc>
        <w:tc>
          <w:tcPr>
            <w:tcW w:w="8073" w:type="dxa"/>
          </w:tcPr>
          <w:p w14:paraId="39E37BD4" w14:textId="797C613F" w:rsidR="00B00A44" w:rsidRDefault="00B00A44" w:rsidP="00A62DF1">
            <w:pPr>
              <w:pStyle w:val="ListParagraph"/>
              <w:numPr>
                <w:ilvl w:val="0"/>
                <w:numId w:val="6"/>
              </w:numPr>
            </w:pPr>
            <w:r>
              <w:t>Anaphylaxis to a previous dose or any component of the vaccine is an absolute contraindication to further vaccination with that vaccine.</w:t>
            </w:r>
          </w:p>
          <w:p w14:paraId="4E78811E" w14:textId="18880277" w:rsidR="008456A2" w:rsidRDefault="008456A2" w:rsidP="00A62DF1">
            <w:pPr>
              <w:pStyle w:val="ListParagraph"/>
              <w:numPr>
                <w:ilvl w:val="0"/>
                <w:numId w:val="6"/>
              </w:numPr>
            </w:pPr>
            <w:r>
              <w:t xml:space="preserve">Temperature over </w:t>
            </w:r>
            <w:r>
              <w:t>38</w:t>
            </w:r>
            <w:r w:rsidRPr="00A62DF1">
              <w:rPr>
                <w:rFonts w:cstheme="minorHAnsi"/>
              </w:rPr>
              <w:t>°</w:t>
            </w:r>
            <w:r>
              <w:t>C</w:t>
            </w:r>
          </w:p>
        </w:tc>
      </w:tr>
      <w:tr w:rsidR="00B00A44" w14:paraId="47C52B2B" w14:textId="77777777" w:rsidTr="00C116AA">
        <w:tc>
          <w:tcPr>
            <w:tcW w:w="2689" w:type="dxa"/>
          </w:tcPr>
          <w:p w14:paraId="561B686F" w14:textId="77777777" w:rsidR="00B00A44" w:rsidRPr="0064385C" w:rsidRDefault="00B00A44" w:rsidP="00C116AA">
            <w:pPr>
              <w:rPr>
                <w:b/>
              </w:rPr>
            </w:pPr>
            <w:r w:rsidRPr="0064385C">
              <w:rPr>
                <w:b/>
              </w:rPr>
              <w:t>Precautions</w:t>
            </w:r>
          </w:p>
        </w:tc>
        <w:tc>
          <w:tcPr>
            <w:tcW w:w="8073" w:type="dxa"/>
          </w:tcPr>
          <w:p w14:paraId="74825A0A" w14:textId="33ABA194" w:rsidR="00B00A44" w:rsidRDefault="00B00A44" w:rsidP="00DA1274">
            <w:r>
              <w:t>See sections 2</w:t>
            </w:r>
            <w:r w:rsidR="00C116AA">
              <w:t>, 4 and 1</w:t>
            </w:r>
            <w:r w:rsidR="008456A2">
              <w:t>4</w:t>
            </w:r>
            <w:r>
              <w:t xml:space="preserve"> of the on-line Immunisation Handbook for pre-vaccination checklists and precautions</w:t>
            </w:r>
          </w:p>
        </w:tc>
      </w:tr>
      <w:tr w:rsidR="00B00A44" w14:paraId="13397FF9" w14:textId="77777777" w:rsidTr="00C116AA">
        <w:tc>
          <w:tcPr>
            <w:tcW w:w="2689" w:type="dxa"/>
          </w:tcPr>
          <w:p w14:paraId="7215DC12" w14:textId="77777777" w:rsidR="00B00A44" w:rsidRPr="0064385C" w:rsidRDefault="00B00A44" w:rsidP="00C116AA">
            <w:pPr>
              <w:rPr>
                <w:b/>
              </w:rPr>
            </w:pPr>
            <w:r w:rsidRPr="0064385C">
              <w:rPr>
                <w:b/>
              </w:rPr>
              <w:lastRenderedPageBreak/>
              <w:t>Additional information</w:t>
            </w:r>
          </w:p>
        </w:tc>
        <w:tc>
          <w:tcPr>
            <w:tcW w:w="8073" w:type="dxa"/>
          </w:tcPr>
          <w:p w14:paraId="3850B88D" w14:textId="77777777" w:rsidR="00DA1274" w:rsidRDefault="00DA1274" w:rsidP="00DA1274">
            <w:pPr>
              <w:rPr>
                <w:lang w:val="en-GB"/>
              </w:rPr>
            </w:pPr>
            <w:r>
              <w:rPr>
                <w:lang w:val="en-GB"/>
              </w:rPr>
              <w:t>Small risk of anaphylaxis, therefore patient should wait for 20 minutes post injection.</w:t>
            </w:r>
          </w:p>
          <w:p w14:paraId="4BA89B5F" w14:textId="7EC43A88" w:rsidR="00B00A44" w:rsidRPr="00395E71" w:rsidRDefault="00DA1274" w:rsidP="00C116AA">
            <w:pPr>
              <w:rPr>
                <w:sz w:val="12"/>
                <w:szCs w:val="12"/>
              </w:rPr>
            </w:pPr>
            <w:r>
              <w:t xml:space="preserve">Verbal and written </w:t>
            </w:r>
            <w:r w:rsidRPr="006E59D0">
              <w:rPr>
                <w:rFonts w:cstheme="minorHAnsi"/>
              </w:rPr>
              <w:t xml:space="preserve">post vaccination </w:t>
            </w:r>
            <w:r w:rsidR="006E59D0" w:rsidRPr="006E59D0">
              <w:rPr>
                <w:rFonts w:cstheme="minorHAnsi"/>
              </w:rPr>
              <w:t>(</w:t>
            </w:r>
            <w:r w:rsidR="006E59D0" w:rsidRPr="006E59D0">
              <w:rPr>
                <w:rFonts w:cstheme="minorHAnsi"/>
                <w:color w:val="333333"/>
                <w:lang w:val="en"/>
              </w:rPr>
              <w:t>HE2505</w:t>
            </w:r>
            <w:r w:rsidR="006E59D0" w:rsidRPr="006E59D0">
              <w:rPr>
                <w:rFonts w:cstheme="minorHAnsi"/>
                <w:color w:val="333333"/>
                <w:lang w:val="en"/>
              </w:rPr>
              <w:t>)</w:t>
            </w:r>
            <w:r w:rsidR="006E59D0" w:rsidRPr="006E59D0">
              <w:rPr>
                <w:rFonts w:cstheme="minorHAnsi"/>
              </w:rPr>
              <w:t xml:space="preserve"> </w:t>
            </w:r>
            <w:r w:rsidRPr="006E59D0">
              <w:rPr>
                <w:rFonts w:cstheme="minorHAnsi"/>
              </w:rPr>
              <w:t>information</w:t>
            </w:r>
            <w:r>
              <w:t xml:space="preserve"> should be given</w:t>
            </w:r>
            <w:r w:rsidR="001A3B54">
              <w:t xml:space="preserve"> </w:t>
            </w:r>
          </w:p>
          <w:p w14:paraId="7DD298B6" w14:textId="1B21283A" w:rsidR="00B00A44" w:rsidRDefault="00C116AA" w:rsidP="00D06E48">
            <w:r>
              <w:t xml:space="preserve">The </w:t>
            </w:r>
            <w:r w:rsidR="00053534">
              <w:t>Authorised Vaccinator</w:t>
            </w:r>
            <w:r w:rsidR="00B00A44">
              <w:t xml:space="preserve"> is responsible for all documentation related to the vaccination event.</w:t>
            </w:r>
          </w:p>
        </w:tc>
      </w:tr>
      <w:tr w:rsidR="00B00A44" w14:paraId="4D68118D" w14:textId="77777777" w:rsidTr="00C116AA">
        <w:tc>
          <w:tcPr>
            <w:tcW w:w="2689" w:type="dxa"/>
          </w:tcPr>
          <w:p w14:paraId="1FEF1EB1" w14:textId="77777777" w:rsidR="00B00A44" w:rsidRPr="0064385C" w:rsidRDefault="00B00A44" w:rsidP="00C116AA">
            <w:pPr>
              <w:rPr>
                <w:b/>
              </w:rPr>
            </w:pPr>
            <w:r w:rsidRPr="0064385C">
              <w:rPr>
                <w:b/>
              </w:rPr>
              <w:t>Follow-up</w:t>
            </w:r>
          </w:p>
        </w:tc>
        <w:tc>
          <w:tcPr>
            <w:tcW w:w="8073" w:type="dxa"/>
          </w:tcPr>
          <w:p w14:paraId="33793EB9" w14:textId="4449170E" w:rsidR="00B00A44" w:rsidRDefault="00B00A44" w:rsidP="00C116AA">
            <w:r>
              <w:t xml:space="preserve">Any adverse event that occurs in the course of administration of this </w:t>
            </w:r>
            <w:r w:rsidR="00053534">
              <w:t>vaccine</w:t>
            </w:r>
            <w:r>
              <w:t xml:space="preserve"> must be reported </w:t>
            </w:r>
            <w:r w:rsidR="00601D00">
              <w:t>to CARM</w:t>
            </w:r>
          </w:p>
        </w:tc>
      </w:tr>
      <w:tr w:rsidR="00B00A44" w14:paraId="65107498" w14:textId="77777777" w:rsidTr="00C116AA">
        <w:tc>
          <w:tcPr>
            <w:tcW w:w="2689" w:type="dxa"/>
          </w:tcPr>
          <w:p w14:paraId="2C763FF7" w14:textId="77777777" w:rsidR="00B00A44" w:rsidRPr="0064385C" w:rsidRDefault="00B00A44" w:rsidP="00C116AA">
            <w:pPr>
              <w:rPr>
                <w:b/>
              </w:rPr>
            </w:pPr>
            <w:r w:rsidRPr="0064385C">
              <w:rPr>
                <w:b/>
              </w:rPr>
              <w:t>Countersigning and auditing</w:t>
            </w:r>
          </w:p>
        </w:tc>
        <w:tc>
          <w:tcPr>
            <w:tcW w:w="8073" w:type="dxa"/>
          </w:tcPr>
          <w:p w14:paraId="17DBC490" w14:textId="57F5B047" w:rsidR="00B00A44" w:rsidRDefault="00B00A44" w:rsidP="00C116AA">
            <w:r>
              <w:t xml:space="preserve">Countersigning is required within </w:t>
            </w:r>
            <w:r w:rsidR="00171F38">
              <w:rPr>
                <w:b/>
                <w:i/>
              </w:rPr>
              <w:t xml:space="preserve">10 </w:t>
            </w:r>
            <w:r>
              <w:t>days</w:t>
            </w:r>
            <w:r w:rsidR="00053534">
              <w:t xml:space="preserve"> by the </w:t>
            </w:r>
            <w:bookmarkStart w:id="0" w:name="_GoBack"/>
            <w:bookmarkEnd w:id="0"/>
            <w:r w:rsidR="00053534">
              <w:t>prescriber</w:t>
            </w:r>
          </w:p>
        </w:tc>
      </w:tr>
      <w:tr w:rsidR="00B00A44" w14:paraId="73156314" w14:textId="77777777" w:rsidTr="00C116AA">
        <w:tc>
          <w:tcPr>
            <w:tcW w:w="2689" w:type="dxa"/>
          </w:tcPr>
          <w:p w14:paraId="4355D278" w14:textId="77777777" w:rsidR="00B00A44" w:rsidRPr="0064385C" w:rsidRDefault="00B00A44" w:rsidP="00C116AA">
            <w:pPr>
              <w:rPr>
                <w:b/>
              </w:rPr>
            </w:pPr>
            <w:r w:rsidRPr="0064385C">
              <w:rPr>
                <w:b/>
              </w:rPr>
              <w:t>Competency/training requirements</w:t>
            </w:r>
          </w:p>
        </w:tc>
        <w:tc>
          <w:tcPr>
            <w:tcW w:w="8073" w:type="dxa"/>
          </w:tcPr>
          <w:p w14:paraId="4E782AF9" w14:textId="21886372" w:rsidR="00B00A44" w:rsidRDefault="00D06E48" w:rsidP="00C116AA">
            <w:r>
              <w:t xml:space="preserve">The Registered Nurse must be </w:t>
            </w:r>
            <w:r w:rsidR="00053534">
              <w:t>an A</w:t>
            </w:r>
            <w:r>
              <w:t>uthorised</w:t>
            </w:r>
            <w:r w:rsidR="00053534">
              <w:t xml:space="preserve"> Vaccinator</w:t>
            </w:r>
          </w:p>
        </w:tc>
      </w:tr>
      <w:tr w:rsidR="00B00A44" w14:paraId="70FBB101" w14:textId="77777777" w:rsidTr="00C116AA">
        <w:tc>
          <w:tcPr>
            <w:tcW w:w="2689" w:type="dxa"/>
          </w:tcPr>
          <w:p w14:paraId="1686E131" w14:textId="77777777" w:rsidR="00B00A44" w:rsidRPr="0064385C" w:rsidRDefault="00B00A44" w:rsidP="00C116AA">
            <w:pPr>
              <w:rPr>
                <w:b/>
              </w:rPr>
            </w:pPr>
            <w:r w:rsidRPr="0064385C">
              <w:rPr>
                <w:b/>
              </w:rPr>
              <w:t>Supporting documentation</w:t>
            </w:r>
          </w:p>
        </w:tc>
        <w:tc>
          <w:tcPr>
            <w:tcW w:w="8073" w:type="dxa"/>
          </w:tcPr>
          <w:p w14:paraId="0F301005" w14:textId="36EF00B6" w:rsidR="00B00A44" w:rsidRDefault="00B00A44" w:rsidP="00C116AA">
            <w:r>
              <w:t>Immunisation Handbook 201</w:t>
            </w:r>
            <w:r w:rsidR="00D06E48">
              <w:t>7</w:t>
            </w:r>
            <w:r>
              <w:t xml:space="preserve"> at </w:t>
            </w:r>
            <w:hyperlink r:id="rId8" w:history="1">
              <w:r w:rsidRPr="00310AFD">
                <w:rPr>
                  <w:rStyle w:val="Hyperlink"/>
                </w:rPr>
                <w:t>http://immunisation.boo</w:t>
              </w:r>
              <w:r w:rsidRPr="00310AFD">
                <w:rPr>
                  <w:rStyle w:val="Hyperlink"/>
                </w:rPr>
                <w:t>k</w:t>
              </w:r>
              <w:r w:rsidRPr="00310AFD">
                <w:rPr>
                  <w:rStyle w:val="Hyperlink"/>
                </w:rPr>
                <w:t>.health.govt.nz/</w:t>
              </w:r>
            </w:hyperlink>
            <w:r>
              <w:t xml:space="preserve"> </w:t>
            </w:r>
          </w:p>
          <w:p w14:paraId="3222ED52" w14:textId="10F23D5B" w:rsidR="00D06E48" w:rsidRDefault="00A2134B" w:rsidP="00C116AA">
            <w:proofErr w:type="spellStart"/>
            <w:r>
              <w:t>Medsafe</w:t>
            </w:r>
            <w:proofErr w:type="spellEnd"/>
            <w:r>
              <w:t xml:space="preserve"> data sheets</w:t>
            </w:r>
            <w:r w:rsidR="00D06E48" w:rsidRPr="00D06E48">
              <w:t xml:space="preserve"> </w:t>
            </w:r>
            <w:hyperlink r:id="rId9" w:history="1">
              <w:r w:rsidR="00D06E48" w:rsidRPr="00D06E48">
                <w:rPr>
                  <w:color w:val="0000FF"/>
                  <w:u w:val="single"/>
                </w:rPr>
                <w:t>https://www.medsafe.govt.nz/profs/Datasheet/b/Boostrixinj.pdf</w:t>
              </w:r>
            </w:hyperlink>
          </w:p>
          <w:p w14:paraId="080CE00B" w14:textId="44980B95" w:rsidR="00B00A44" w:rsidRDefault="00A2134B" w:rsidP="00C116AA">
            <w:hyperlink r:id="rId10" w:history="1">
              <w:r w:rsidRPr="007532C9">
                <w:rPr>
                  <w:rStyle w:val="Hyperlink"/>
                </w:rPr>
                <w:t>https://www.medsafe.govt.nz/profs/Datasheet/a/adacelinj.pdf</w:t>
              </w:r>
            </w:hyperlink>
          </w:p>
        </w:tc>
      </w:tr>
      <w:tr w:rsidR="00B00A44" w14:paraId="6815C0C7" w14:textId="77777777" w:rsidTr="00C116AA">
        <w:tc>
          <w:tcPr>
            <w:tcW w:w="2689" w:type="dxa"/>
          </w:tcPr>
          <w:p w14:paraId="02C2573F" w14:textId="77777777" w:rsidR="00B00A44" w:rsidRPr="0064385C" w:rsidRDefault="00B00A44" w:rsidP="00C116AA">
            <w:pPr>
              <w:rPr>
                <w:b/>
              </w:rPr>
            </w:pPr>
            <w:r w:rsidRPr="0064385C">
              <w:rPr>
                <w:b/>
              </w:rPr>
              <w:t>Definition of terms used in standing order</w:t>
            </w:r>
          </w:p>
        </w:tc>
        <w:tc>
          <w:tcPr>
            <w:tcW w:w="8073" w:type="dxa"/>
          </w:tcPr>
          <w:p w14:paraId="297C77FF" w14:textId="77777777" w:rsidR="00601D00" w:rsidRDefault="00C116AA" w:rsidP="00601D00">
            <w:r w:rsidRPr="00C116AA">
              <w:rPr>
                <w:u w:val="single"/>
              </w:rPr>
              <w:t>Prescriber</w:t>
            </w:r>
            <w:r>
              <w:t xml:space="preserve"> –  may be</w:t>
            </w:r>
          </w:p>
          <w:p w14:paraId="4A0CDBEC" w14:textId="490A416B" w:rsidR="00C116AA" w:rsidRDefault="00C116AA" w:rsidP="00601D00">
            <w:pPr>
              <w:pStyle w:val="ListParagraph"/>
              <w:numPr>
                <w:ilvl w:val="0"/>
                <w:numId w:val="5"/>
              </w:numPr>
            </w:pPr>
            <w:r>
              <w:t xml:space="preserve">a nurse practitioner </w:t>
            </w:r>
          </w:p>
          <w:p w14:paraId="6A5DD9C1" w14:textId="44BF945A" w:rsidR="00C116AA" w:rsidRDefault="00C116AA" w:rsidP="00601D00">
            <w:r>
              <w:sym w:font="Symbol" w:char="F0B7"/>
            </w:r>
            <w:r>
              <w:t xml:space="preserve"> </w:t>
            </w:r>
            <w:r w:rsidR="00601D00">
              <w:t xml:space="preserve">    </w:t>
            </w:r>
            <w:r>
              <w:t xml:space="preserve">a medical practitioner </w:t>
            </w:r>
          </w:p>
          <w:p w14:paraId="2D77A5F8" w14:textId="2153DC80" w:rsidR="00C116AA" w:rsidRDefault="00C116AA" w:rsidP="00601D00">
            <w:r>
              <w:sym w:font="Symbol" w:char="F0B7"/>
            </w:r>
            <w:r>
              <w:t xml:space="preserve"> </w:t>
            </w:r>
            <w:r w:rsidR="00601D00">
              <w:t xml:space="preserve">    </w:t>
            </w:r>
            <w:r>
              <w:t xml:space="preserve">a registered midwife </w:t>
            </w:r>
          </w:p>
          <w:p w14:paraId="6226E14D" w14:textId="1346172F" w:rsidR="00C116AA" w:rsidRDefault="00C116AA" w:rsidP="00601D00">
            <w:r>
              <w:sym w:font="Symbol" w:char="F0B7"/>
            </w:r>
            <w:r>
              <w:t xml:space="preserve"> </w:t>
            </w:r>
            <w:r w:rsidR="00601D00">
              <w:t xml:space="preserve">    </w:t>
            </w:r>
            <w:r>
              <w:t xml:space="preserve">a designated prescriber (which includes a registered nurse fulfilling the designated prescriber criteria) </w:t>
            </w:r>
          </w:p>
          <w:p w14:paraId="652DA724" w14:textId="02B65A49" w:rsidR="00B00A44" w:rsidRDefault="00B00A44" w:rsidP="00C116AA">
            <w:r w:rsidRPr="00395E71">
              <w:rPr>
                <w:u w:val="single"/>
              </w:rPr>
              <w:t xml:space="preserve">Authorised </w:t>
            </w:r>
            <w:r w:rsidR="00053534">
              <w:rPr>
                <w:u w:val="single"/>
              </w:rPr>
              <w:t>V</w:t>
            </w:r>
            <w:r w:rsidRPr="00395E71">
              <w:rPr>
                <w:u w:val="single"/>
              </w:rPr>
              <w:t>accinator</w:t>
            </w:r>
            <w:r>
              <w:t xml:space="preserve"> – a registered nurses authorised to administer vaccines under section 44A of the Medicines Regulations (1984)</w:t>
            </w:r>
          </w:p>
          <w:p w14:paraId="23720425" w14:textId="77777777" w:rsidR="00B00A44" w:rsidRDefault="00B00A44" w:rsidP="00C116AA"/>
        </w:tc>
      </w:tr>
    </w:tbl>
    <w:p w14:paraId="25917B1F" w14:textId="77777777" w:rsidR="00B00A44" w:rsidRDefault="00B00A44" w:rsidP="00B00A44"/>
    <w:p w14:paraId="592D0C28" w14:textId="77777777" w:rsidR="00B00A44" w:rsidRDefault="00B00A44" w:rsidP="00B00A44"/>
    <w:tbl>
      <w:tblPr>
        <w:tblStyle w:val="TableGrid"/>
        <w:tblW w:w="0" w:type="auto"/>
        <w:tblLook w:val="04A0" w:firstRow="1" w:lastRow="0" w:firstColumn="1" w:lastColumn="0" w:noHBand="0" w:noVBand="1"/>
      </w:tblPr>
      <w:tblGrid>
        <w:gridCol w:w="2689"/>
        <w:gridCol w:w="8073"/>
      </w:tblGrid>
      <w:tr w:rsidR="00B00A44" w14:paraId="41778641" w14:textId="77777777" w:rsidTr="00C116AA">
        <w:tc>
          <w:tcPr>
            <w:tcW w:w="2689" w:type="dxa"/>
          </w:tcPr>
          <w:p w14:paraId="303847B4" w14:textId="77777777" w:rsidR="00B00A44" w:rsidRPr="0064385C" w:rsidRDefault="00B00A44" w:rsidP="00C116AA">
            <w:pPr>
              <w:rPr>
                <w:b/>
              </w:rPr>
            </w:pPr>
            <w:r w:rsidRPr="0064385C">
              <w:rPr>
                <w:b/>
              </w:rPr>
              <w:t>Medical Centre or Clinic:</w:t>
            </w:r>
          </w:p>
        </w:tc>
        <w:tc>
          <w:tcPr>
            <w:tcW w:w="8073" w:type="dxa"/>
          </w:tcPr>
          <w:p w14:paraId="7A2390D0" w14:textId="77777777" w:rsidR="00B00A44" w:rsidRDefault="00B00A44" w:rsidP="00C116AA"/>
        </w:tc>
      </w:tr>
    </w:tbl>
    <w:p w14:paraId="21664DD9" w14:textId="77777777" w:rsidR="00B00A44" w:rsidRDefault="00B00A44" w:rsidP="00B00A44"/>
    <w:tbl>
      <w:tblPr>
        <w:tblStyle w:val="TableGrid"/>
        <w:tblW w:w="0" w:type="auto"/>
        <w:tblLook w:val="04A0" w:firstRow="1" w:lastRow="0" w:firstColumn="1" w:lastColumn="0" w:noHBand="0" w:noVBand="1"/>
      </w:tblPr>
      <w:tblGrid>
        <w:gridCol w:w="2122"/>
      </w:tblGrid>
      <w:tr w:rsidR="00B00A44" w14:paraId="64C20CB4" w14:textId="77777777" w:rsidTr="00C116AA">
        <w:tc>
          <w:tcPr>
            <w:tcW w:w="2122" w:type="dxa"/>
          </w:tcPr>
          <w:p w14:paraId="6CC53653" w14:textId="77777777" w:rsidR="00B00A44" w:rsidRPr="0064385C" w:rsidRDefault="00B00A44" w:rsidP="00C116AA">
            <w:pPr>
              <w:rPr>
                <w:b/>
              </w:rPr>
            </w:pPr>
            <w:r w:rsidRPr="0064385C">
              <w:rPr>
                <w:b/>
              </w:rPr>
              <w:t>Signed by issuers</w:t>
            </w:r>
          </w:p>
        </w:tc>
      </w:tr>
    </w:tbl>
    <w:p w14:paraId="036E4DA8" w14:textId="77777777" w:rsidR="00B00A44" w:rsidRDefault="00B00A44" w:rsidP="00B00A44"/>
    <w:p w14:paraId="39A5C79A" w14:textId="77777777" w:rsidR="00B00A44" w:rsidRDefault="00B00A44" w:rsidP="00B00A44">
      <w:r>
        <w:t>Name:</w:t>
      </w:r>
      <w:r>
        <w:tab/>
        <w:t>____________________________</w:t>
      </w:r>
      <w:r>
        <w:tab/>
      </w:r>
      <w:r>
        <w:tab/>
        <w:t>Signature: __________________________</w:t>
      </w:r>
    </w:p>
    <w:p w14:paraId="27E720CF" w14:textId="77777777" w:rsidR="00B00A44" w:rsidRDefault="00B00A44" w:rsidP="00B00A44">
      <w:r>
        <w:t>Title:</w:t>
      </w:r>
      <w:r>
        <w:tab/>
        <w:t>____________________________</w:t>
      </w:r>
      <w:r>
        <w:tab/>
      </w:r>
      <w:r>
        <w:tab/>
        <w:t>Date: _________________</w:t>
      </w:r>
    </w:p>
    <w:p w14:paraId="68E27213" w14:textId="77777777" w:rsidR="00B00A44" w:rsidRDefault="00B00A44" w:rsidP="00B00A44"/>
    <w:tbl>
      <w:tblPr>
        <w:tblStyle w:val="TableGrid"/>
        <w:tblW w:w="0" w:type="auto"/>
        <w:tblLook w:val="04A0" w:firstRow="1" w:lastRow="0" w:firstColumn="1" w:lastColumn="0" w:noHBand="0" w:noVBand="1"/>
      </w:tblPr>
      <w:tblGrid>
        <w:gridCol w:w="10467"/>
      </w:tblGrid>
      <w:tr w:rsidR="00B00A44" w14:paraId="5C551EA4" w14:textId="77777777" w:rsidTr="00171F38">
        <w:trPr>
          <w:trHeight w:val="103"/>
        </w:trPr>
        <w:tc>
          <w:tcPr>
            <w:tcW w:w="10467" w:type="dxa"/>
          </w:tcPr>
          <w:p w14:paraId="523F2AAD" w14:textId="3A4B42D1" w:rsidR="00B00A44" w:rsidRPr="0064385C" w:rsidRDefault="00A2134B" w:rsidP="00C116AA">
            <w:pPr>
              <w:rPr>
                <w:b/>
              </w:rPr>
            </w:pPr>
            <w:r>
              <w:rPr>
                <w:b/>
              </w:rPr>
              <w:t>Authorised Vaccinators</w:t>
            </w:r>
            <w:r w:rsidR="00B00A44" w:rsidRPr="0064385C">
              <w:rPr>
                <w:b/>
              </w:rPr>
              <w:t xml:space="preserve"> operating under this standing order</w:t>
            </w:r>
            <w:r w:rsidR="00171F38">
              <w:rPr>
                <w:b/>
              </w:rPr>
              <w:t xml:space="preserve"> </w:t>
            </w:r>
          </w:p>
        </w:tc>
      </w:tr>
    </w:tbl>
    <w:p w14:paraId="488553B7" w14:textId="77777777" w:rsidR="00B00A44" w:rsidRDefault="00B00A44" w:rsidP="00B00A44"/>
    <w:p w14:paraId="3DE98107" w14:textId="77777777" w:rsidR="00B00A44" w:rsidRDefault="00B00A44" w:rsidP="00B00A44"/>
    <w:p w14:paraId="4207B273" w14:textId="77777777" w:rsidR="00B00A44" w:rsidRDefault="00B00A44" w:rsidP="00B00A44">
      <w:r>
        <w:t>We the undersigned agree that we have read, understood and will comply with this standing order and all associated documents.</w:t>
      </w:r>
    </w:p>
    <w:p w14:paraId="3C55B580" w14:textId="77777777" w:rsidR="00B00A44" w:rsidRDefault="00B00A44" w:rsidP="00B00A44"/>
    <w:p w14:paraId="3F20D388" w14:textId="77777777" w:rsidR="00B00A44" w:rsidRDefault="00B00A44" w:rsidP="00B00A44">
      <w:r>
        <w:t>Name: ______________________   Signature: __________________________  Date: ______________</w:t>
      </w:r>
    </w:p>
    <w:p w14:paraId="695FCEB0" w14:textId="77777777" w:rsidR="00B00A44" w:rsidRDefault="00B00A44" w:rsidP="00B00A44">
      <w:r>
        <w:t>Name: ______________________   Signature: __________________________  Date: ______________</w:t>
      </w:r>
    </w:p>
    <w:p w14:paraId="1B891E51" w14:textId="77777777" w:rsidR="00B00A44" w:rsidRDefault="00B00A44" w:rsidP="00B00A44">
      <w:r>
        <w:t>Name: ______________________   Signature: __________________________  Date: ______________</w:t>
      </w:r>
    </w:p>
    <w:p w14:paraId="765CBDDF" w14:textId="77777777" w:rsidR="00B00A44" w:rsidRDefault="00B00A44" w:rsidP="00B00A44">
      <w:r>
        <w:t>Name: ______________________   Signature: __________________________  Date: ______________</w:t>
      </w:r>
    </w:p>
    <w:p w14:paraId="5EED19E8" w14:textId="77777777" w:rsidR="00B00A44" w:rsidRDefault="00B00A44" w:rsidP="00B00A44"/>
    <w:p w14:paraId="4907C9E6" w14:textId="77777777" w:rsidR="00FA07C3" w:rsidRDefault="00FA07C3"/>
    <w:sectPr w:rsidR="00FA07C3" w:rsidSect="00C116AA">
      <w:footerReference w:type="default" r:id="rId11"/>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5C892" w14:textId="77777777" w:rsidR="00C116AA" w:rsidRDefault="00C116AA">
      <w:pPr>
        <w:spacing w:after="0" w:line="240" w:lineRule="auto"/>
      </w:pPr>
      <w:r>
        <w:separator/>
      </w:r>
    </w:p>
  </w:endnote>
  <w:endnote w:type="continuationSeparator" w:id="0">
    <w:p w14:paraId="6ED30356" w14:textId="77777777" w:rsidR="00C116AA" w:rsidRDefault="00C1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A45B" w14:textId="77777777" w:rsidR="00C116AA" w:rsidRDefault="00C11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030D9" w14:textId="77777777" w:rsidR="00C116AA" w:rsidRDefault="00C116AA">
      <w:pPr>
        <w:spacing w:after="0" w:line="240" w:lineRule="auto"/>
      </w:pPr>
      <w:r>
        <w:separator/>
      </w:r>
    </w:p>
  </w:footnote>
  <w:footnote w:type="continuationSeparator" w:id="0">
    <w:p w14:paraId="38890043" w14:textId="77777777" w:rsidR="00C116AA" w:rsidRDefault="00C11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06771"/>
    <w:multiLevelType w:val="hybridMultilevel"/>
    <w:tmpl w:val="3D5425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7134B52"/>
    <w:multiLevelType w:val="hybridMultilevel"/>
    <w:tmpl w:val="C15C9A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9FD69AF"/>
    <w:multiLevelType w:val="hybridMultilevel"/>
    <w:tmpl w:val="1584DD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63F0631"/>
    <w:multiLevelType w:val="hybridMultilevel"/>
    <w:tmpl w:val="594E86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776822DD"/>
    <w:multiLevelType w:val="hybridMultilevel"/>
    <w:tmpl w:val="6FAC948C"/>
    <w:lvl w:ilvl="0" w:tplc="14090001">
      <w:start w:val="1"/>
      <w:numFmt w:val="bullet"/>
      <w:lvlText w:val=""/>
      <w:lvlJc w:val="left"/>
      <w:pPr>
        <w:ind w:left="1484" w:hanging="360"/>
      </w:pPr>
      <w:rPr>
        <w:rFonts w:ascii="Symbol" w:hAnsi="Symbol" w:hint="default"/>
      </w:rPr>
    </w:lvl>
    <w:lvl w:ilvl="1" w:tplc="14090003" w:tentative="1">
      <w:start w:val="1"/>
      <w:numFmt w:val="bullet"/>
      <w:lvlText w:val="o"/>
      <w:lvlJc w:val="left"/>
      <w:pPr>
        <w:ind w:left="2204" w:hanging="360"/>
      </w:pPr>
      <w:rPr>
        <w:rFonts w:ascii="Courier New" w:hAnsi="Courier New" w:cs="Courier New" w:hint="default"/>
      </w:rPr>
    </w:lvl>
    <w:lvl w:ilvl="2" w:tplc="14090005" w:tentative="1">
      <w:start w:val="1"/>
      <w:numFmt w:val="bullet"/>
      <w:lvlText w:val=""/>
      <w:lvlJc w:val="left"/>
      <w:pPr>
        <w:ind w:left="2924" w:hanging="360"/>
      </w:pPr>
      <w:rPr>
        <w:rFonts w:ascii="Wingdings" w:hAnsi="Wingdings" w:hint="default"/>
      </w:rPr>
    </w:lvl>
    <w:lvl w:ilvl="3" w:tplc="14090001" w:tentative="1">
      <w:start w:val="1"/>
      <w:numFmt w:val="bullet"/>
      <w:lvlText w:val=""/>
      <w:lvlJc w:val="left"/>
      <w:pPr>
        <w:ind w:left="3644" w:hanging="360"/>
      </w:pPr>
      <w:rPr>
        <w:rFonts w:ascii="Symbol" w:hAnsi="Symbol" w:hint="default"/>
      </w:rPr>
    </w:lvl>
    <w:lvl w:ilvl="4" w:tplc="14090003" w:tentative="1">
      <w:start w:val="1"/>
      <w:numFmt w:val="bullet"/>
      <w:lvlText w:val="o"/>
      <w:lvlJc w:val="left"/>
      <w:pPr>
        <w:ind w:left="4364" w:hanging="360"/>
      </w:pPr>
      <w:rPr>
        <w:rFonts w:ascii="Courier New" w:hAnsi="Courier New" w:cs="Courier New" w:hint="default"/>
      </w:rPr>
    </w:lvl>
    <w:lvl w:ilvl="5" w:tplc="14090005" w:tentative="1">
      <w:start w:val="1"/>
      <w:numFmt w:val="bullet"/>
      <w:lvlText w:val=""/>
      <w:lvlJc w:val="left"/>
      <w:pPr>
        <w:ind w:left="5084" w:hanging="360"/>
      </w:pPr>
      <w:rPr>
        <w:rFonts w:ascii="Wingdings" w:hAnsi="Wingdings" w:hint="default"/>
      </w:rPr>
    </w:lvl>
    <w:lvl w:ilvl="6" w:tplc="14090001" w:tentative="1">
      <w:start w:val="1"/>
      <w:numFmt w:val="bullet"/>
      <w:lvlText w:val=""/>
      <w:lvlJc w:val="left"/>
      <w:pPr>
        <w:ind w:left="5804" w:hanging="360"/>
      </w:pPr>
      <w:rPr>
        <w:rFonts w:ascii="Symbol" w:hAnsi="Symbol" w:hint="default"/>
      </w:rPr>
    </w:lvl>
    <w:lvl w:ilvl="7" w:tplc="14090003" w:tentative="1">
      <w:start w:val="1"/>
      <w:numFmt w:val="bullet"/>
      <w:lvlText w:val="o"/>
      <w:lvlJc w:val="left"/>
      <w:pPr>
        <w:ind w:left="6524" w:hanging="360"/>
      </w:pPr>
      <w:rPr>
        <w:rFonts w:ascii="Courier New" w:hAnsi="Courier New" w:cs="Courier New" w:hint="default"/>
      </w:rPr>
    </w:lvl>
    <w:lvl w:ilvl="8" w:tplc="14090005" w:tentative="1">
      <w:start w:val="1"/>
      <w:numFmt w:val="bullet"/>
      <w:lvlText w:val=""/>
      <w:lvlJc w:val="left"/>
      <w:pPr>
        <w:ind w:left="7244" w:hanging="360"/>
      </w:pPr>
      <w:rPr>
        <w:rFonts w:ascii="Wingdings" w:hAnsi="Wingdings" w:hint="default"/>
      </w:rPr>
    </w:lvl>
  </w:abstractNum>
  <w:abstractNum w:abstractNumId="5" w15:restartNumberingAfterBreak="0">
    <w:nsid w:val="7E1822EF"/>
    <w:multiLevelType w:val="hybridMultilevel"/>
    <w:tmpl w:val="C330C1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44"/>
    <w:rsid w:val="00053534"/>
    <w:rsid w:val="00156E3A"/>
    <w:rsid w:val="00171F38"/>
    <w:rsid w:val="001A3B54"/>
    <w:rsid w:val="0030493F"/>
    <w:rsid w:val="00601D00"/>
    <w:rsid w:val="006E59D0"/>
    <w:rsid w:val="008456A2"/>
    <w:rsid w:val="00A2134B"/>
    <w:rsid w:val="00A62DF1"/>
    <w:rsid w:val="00B00A44"/>
    <w:rsid w:val="00C116AA"/>
    <w:rsid w:val="00C81FE9"/>
    <w:rsid w:val="00D06E48"/>
    <w:rsid w:val="00D8617C"/>
    <w:rsid w:val="00DA1274"/>
    <w:rsid w:val="00DD0434"/>
    <w:rsid w:val="00EA77AD"/>
    <w:rsid w:val="00EE28E8"/>
    <w:rsid w:val="00F47518"/>
    <w:rsid w:val="00FA07C3"/>
    <w:rsid w:val="00FB08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1529"/>
  <w15:chartTrackingRefBased/>
  <w15:docId w15:val="{5192A829-475C-444F-9345-682C441F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A44"/>
    <w:rPr>
      <w:color w:val="0563C1" w:themeColor="hyperlink"/>
      <w:u w:val="single"/>
    </w:rPr>
  </w:style>
  <w:style w:type="paragraph" w:styleId="Footer">
    <w:name w:val="footer"/>
    <w:basedOn w:val="Normal"/>
    <w:link w:val="FooterChar"/>
    <w:uiPriority w:val="99"/>
    <w:unhideWhenUsed/>
    <w:rsid w:val="00B00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A44"/>
  </w:style>
  <w:style w:type="paragraph" w:styleId="ListParagraph">
    <w:name w:val="List Paragraph"/>
    <w:basedOn w:val="Normal"/>
    <w:uiPriority w:val="34"/>
    <w:qFormat/>
    <w:rsid w:val="00B00A44"/>
    <w:pPr>
      <w:ind w:left="720"/>
      <w:contextualSpacing/>
    </w:pPr>
  </w:style>
  <w:style w:type="paragraph" w:styleId="BalloonText">
    <w:name w:val="Balloon Text"/>
    <w:basedOn w:val="Normal"/>
    <w:link w:val="BalloonTextChar"/>
    <w:uiPriority w:val="99"/>
    <w:semiHidden/>
    <w:unhideWhenUsed/>
    <w:rsid w:val="00C11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AA"/>
    <w:rPr>
      <w:rFonts w:ascii="Segoe UI" w:hAnsi="Segoe UI" w:cs="Segoe UI"/>
      <w:sz w:val="18"/>
      <w:szCs w:val="18"/>
    </w:rPr>
  </w:style>
  <w:style w:type="character" w:styleId="FollowedHyperlink">
    <w:name w:val="FollowedHyperlink"/>
    <w:basedOn w:val="DefaultParagraphFont"/>
    <w:uiPriority w:val="99"/>
    <w:semiHidden/>
    <w:unhideWhenUsed/>
    <w:rsid w:val="00D06E48"/>
    <w:rPr>
      <w:color w:val="954F72" w:themeColor="followedHyperlink"/>
      <w:u w:val="single"/>
    </w:rPr>
  </w:style>
  <w:style w:type="character" w:styleId="UnresolvedMention">
    <w:name w:val="Unresolved Mention"/>
    <w:basedOn w:val="DefaultParagraphFont"/>
    <w:uiPriority w:val="99"/>
    <w:semiHidden/>
    <w:unhideWhenUsed/>
    <w:rsid w:val="00A21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munisation.book.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edsafe.govt.nz/profs/Datasheet/a/adacelinj.pdf" TargetMode="External"/><Relationship Id="rId4" Type="http://schemas.openxmlformats.org/officeDocument/2006/relationships/webSettings" Target="webSettings.xml"/><Relationship Id="rId9" Type="http://schemas.openxmlformats.org/officeDocument/2006/relationships/hyperlink" Target="https://www.medsafe.govt.nz/profs/Datasheet/b/Boostrixin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Doctor2</dc:creator>
  <cp:keywords/>
  <dc:description/>
  <cp:lastModifiedBy>Rachel Hall</cp:lastModifiedBy>
  <cp:revision>3</cp:revision>
  <cp:lastPrinted>2017-03-22T20:39:00Z</cp:lastPrinted>
  <dcterms:created xsi:type="dcterms:W3CDTF">2020-02-23T23:20:00Z</dcterms:created>
  <dcterms:modified xsi:type="dcterms:W3CDTF">2020-02-23T23:32:00Z</dcterms:modified>
</cp:coreProperties>
</file>