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012" w:rsidRPr="001162FE" w:rsidRDefault="00123A68" w:rsidP="001162FE">
      <w:pPr>
        <w:jc w:val="center"/>
        <w:rPr>
          <w:b/>
          <w:sz w:val="28"/>
          <w:szCs w:val="28"/>
        </w:rPr>
      </w:pPr>
      <w:r w:rsidRPr="00123A68">
        <w:rPr>
          <w:noProof/>
          <w:lang w:eastAsia="en-NZ"/>
        </w:rPr>
        <w:drawing>
          <wp:inline distT="0" distB="0" distL="0" distR="0" wp14:anchorId="7ED633EB" wp14:editId="7A92C0F8">
            <wp:extent cx="1866900" cy="622184"/>
            <wp:effectExtent l="0" t="0" r="0" b="6985"/>
            <wp:docPr id="2" name="Picture 2" descr="L:\WellSouth Stationery\Logos\Colour\WS_logo_horizontal\Wellsouth_horizontal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ellSouth Stationery\Logos\Colour\WS_logo_horizontal\Wellsouth_horizontal_hig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400" cy="643013"/>
                    </a:xfrm>
                    <a:prstGeom prst="rect">
                      <a:avLst/>
                    </a:prstGeom>
                    <a:noFill/>
                    <a:ln>
                      <a:noFill/>
                    </a:ln>
                  </pic:spPr>
                </pic:pic>
              </a:graphicData>
            </a:graphic>
          </wp:inline>
        </w:drawing>
      </w:r>
      <w:r>
        <w:rPr>
          <w:b/>
          <w:sz w:val="28"/>
          <w:szCs w:val="28"/>
        </w:rPr>
        <w:t xml:space="preserve">         </w:t>
      </w:r>
      <w:r w:rsidR="00802C1A">
        <w:rPr>
          <w:b/>
          <w:sz w:val="28"/>
          <w:szCs w:val="28"/>
        </w:rPr>
        <w:t>GORD</w:t>
      </w:r>
      <w:r w:rsidR="001162FE" w:rsidRPr="001162FE">
        <w:rPr>
          <w:b/>
          <w:sz w:val="28"/>
          <w:szCs w:val="28"/>
        </w:rPr>
        <w:t xml:space="preserve"> Standing Order</w:t>
      </w:r>
      <w:r w:rsidRPr="00123A6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leGrid"/>
        <w:tblW w:w="0" w:type="auto"/>
        <w:jc w:val="center"/>
        <w:tblLook w:val="04A0" w:firstRow="1" w:lastRow="0" w:firstColumn="1" w:lastColumn="0" w:noHBand="0" w:noVBand="1"/>
      </w:tblPr>
      <w:tblGrid>
        <w:gridCol w:w="1555"/>
        <w:gridCol w:w="1984"/>
        <w:gridCol w:w="1843"/>
        <w:gridCol w:w="2268"/>
      </w:tblGrid>
      <w:tr w:rsidR="001162FE" w:rsidTr="00877CF2">
        <w:trPr>
          <w:jc w:val="center"/>
        </w:trPr>
        <w:tc>
          <w:tcPr>
            <w:tcW w:w="1555" w:type="dxa"/>
          </w:tcPr>
          <w:p w:rsidR="001162FE" w:rsidRDefault="001162FE">
            <w:r>
              <w:t>Issue date:</w:t>
            </w:r>
          </w:p>
        </w:tc>
        <w:tc>
          <w:tcPr>
            <w:tcW w:w="1984" w:type="dxa"/>
          </w:tcPr>
          <w:p w:rsidR="001162FE" w:rsidRDefault="001162FE"/>
        </w:tc>
        <w:tc>
          <w:tcPr>
            <w:tcW w:w="1843" w:type="dxa"/>
          </w:tcPr>
          <w:p w:rsidR="001162FE" w:rsidRDefault="001162FE">
            <w:r>
              <w:t>Review date:</w:t>
            </w:r>
          </w:p>
        </w:tc>
        <w:tc>
          <w:tcPr>
            <w:tcW w:w="2268" w:type="dxa"/>
          </w:tcPr>
          <w:p w:rsidR="001162FE" w:rsidRDefault="001162FE"/>
        </w:tc>
      </w:tr>
    </w:tbl>
    <w:p w:rsidR="001162FE" w:rsidRDefault="001162FE"/>
    <w:p w:rsidR="001162FE" w:rsidRDefault="001162FE">
      <w:r>
        <w:t>This standing order is not valid after the review date.</w:t>
      </w:r>
      <w:r w:rsidR="00877CF2">
        <w:t xml:space="preserve"> The review date is one year after the date the order was signed by the issuer.</w:t>
      </w:r>
    </w:p>
    <w:tbl>
      <w:tblPr>
        <w:tblStyle w:val="TableGrid"/>
        <w:tblW w:w="0" w:type="auto"/>
        <w:tblLook w:val="04A0" w:firstRow="1" w:lastRow="0" w:firstColumn="1" w:lastColumn="0" w:noHBand="0" w:noVBand="1"/>
      </w:tblPr>
      <w:tblGrid>
        <w:gridCol w:w="2689"/>
        <w:gridCol w:w="8073"/>
      </w:tblGrid>
      <w:tr w:rsidR="001162FE" w:rsidTr="001162FE">
        <w:tc>
          <w:tcPr>
            <w:tcW w:w="2689" w:type="dxa"/>
          </w:tcPr>
          <w:p w:rsidR="001162FE" w:rsidRPr="0064385C" w:rsidRDefault="00877CF2">
            <w:pPr>
              <w:rPr>
                <w:b/>
              </w:rPr>
            </w:pPr>
            <w:r w:rsidRPr="0064385C">
              <w:rPr>
                <w:b/>
              </w:rPr>
              <w:t>Standing Order Name</w:t>
            </w:r>
          </w:p>
        </w:tc>
        <w:tc>
          <w:tcPr>
            <w:tcW w:w="8073" w:type="dxa"/>
          </w:tcPr>
          <w:p w:rsidR="001162FE" w:rsidRDefault="00802C1A">
            <w:r>
              <w:t>Gastro Oesophageal Reflux Disease (GORD)</w:t>
            </w:r>
          </w:p>
        </w:tc>
      </w:tr>
      <w:tr w:rsidR="001162FE" w:rsidTr="001162FE">
        <w:tc>
          <w:tcPr>
            <w:tcW w:w="2689" w:type="dxa"/>
          </w:tcPr>
          <w:p w:rsidR="001162FE" w:rsidRPr="0064385C" w:rsidRDefault="00877CF2">
            <w:pPr>
              <w:rPr>
                <w:b/>
              </w:rPr>
            </w:pPr>
            <w:r w:rsidRPr="0064385C">
              <w:rPr>
                <w:b/>
              </w:rPr>
              <w:t>Rationale</w:t>
            </w:r>
          </w:p>
        </w:tc>
        <w:tc>
          <w:tcPr>
            <w:tcW w:w="8073" w:type="dxa"/>
          </w:tcPr>
          <w:p w:rsidR="001162FE" w:rsidRDefault="00802C1A">
            <w:r>
              <w:t>To promptly and appropriately treat patients presenting with symptoms of GORD</w:t>
            </w:r>
          </w:p>
        </w:tc>
      </w:tr>
      <w:tr w:rsidR="001162FE" w:rsidTr="001162FE">
        <w:tc>
          <w:tcPr>
            <w:tcW w:w="2689" w:type="dxa"/>
          </w:tcPr>
          <w:p w:rsidR="00877CF2" w:rsidRPr="0064385C" w:rsidRDefault="008C2A3F">
            <w:pPr>
              <w:rPr>
                <w:b/>
              </w:rPr>
            </w:pPr>
            <w:r w:rsidRPr="0064385C">
              <w:rPr>
                <w:b/>
              </w:rPr>
              <w:t>Scope (condition and patient group)</w:t>
            </w:r>
          </w:p>
        </w:tc>
        <w:tc>
          <w:tcPr>
            <w:tcW w:w="8073" w:type="dxa"/>
          </w:tcPr>
          <w:p w:rsidR="001162FE" w:rsidRDefault="00802C1A" w:rsidP="0063643C">
            <w:r>
              <w:t xml:space="preserve">Adult patients who are presenting with symptoms of </w:t>
            </w:r>
            <w:r w:rsidR="0063643C">
              <w:t>heartburn.</w:t>
            </w:r>
          </w:p>
        </w:tc>
      </w:tr>
      <w:tr w:rsidR="000E47A6" w:rsidTr="001162FE">
        <w:tc>
          <w:tcPr>
            <w:tcW w:w="2689" w:type="dxa"/>
          </w:tcPr>
          <w:p w:rsidR="000E47A6" w:rsidRPr="0064385C" w:rsidRDefault="000E47A6">
            <w:pPr>
              <w:rPr>
                <w:b/>
              </w:rPr>
            </w:pPr>
            <w:r>
              <w:rPr>
                <w:b/>
              </w:rPr>
              <w:t>Red Flags</w:t>
            </w:r>
          </w:p>
        </w:tc>
        <w:tc>
          <w:tcPr>
            <w:tcW w:w="8073" w:type="dxa"/>
          </w:tcPr>
          <w:p w:rsidR="00802C1A" w:rsidRDefault="00802C1A" w:rsidP="00802C1A">
            <w:r>
              <w:t>Difficulty in swallowing</w:t>
            </w:r>
          </w:p>
          <w:p w:rsidR="00802C1A" w:rsidRDefault="00802C1A" w:rsidP="00802C1A">
            <w:r>
              <w:t>Unexplained weight loss associated with gastrointestinal symptoms</w:t>
            </w:r>
          </w:p>
          <w:p w:rsidR="00802C1A" w:rsidRDefault="00802C1A" w:rsidP="00802C1A">
            <w:r>
              <w:t>Unexplained iron deficiency anaemia</w:t>
            </w:r>
          </w:p>
          <w:p w:rsidR="00802C1A" w:rsidRDefault="00802C1A" w:rsidP="00802C1A">
            <w:proofErr w:type="spellStart"/>
            <w:r>
              <w:t>Haematemesis</w:t>
            </w:r>
            <w:proofErr w:type="spellEnd"/>
            <w:r>
              <w:t xml:space="preserve"> or </w:t>
            </w:r>
            <w:proofErr w:type="spellStart"/>
            <w:r>
              <w:t>melaena</w:t>
            </w:r>
            <w:proofErr w:type="spellEnd"/>
          </w:p>
          <w:p w:rsidR="00802C1A" w:rsidRDefault="00802C1A" w:rsidP="00802C1A">
            <w:r>
              <w:t>Abnormal abdominal mass</w:t>
            </w:r>
          </w:p>
          <w:p w:rsidR="000E47A6" w:rsidRDefault="00802C1A" w:rsidP="00802C1A">
            <w:r>
              <w:t>Persistent or protracted vomiting</w:t>
            </w:r>
          </w:p>
        </w:tc>
      </w:tr>
      <w:tr w:rsidR="001162FE" w:rsidTr="001162FE">
        <w:tc>
          <w:tcPr>
            <w:tcW w:w="2689" w:type="dxa"/>
          </w:tcPr>
          <w:p w:rsidR="001162FE" w:rsidRPr="0064385C" w:rsidRDefault="008C2A3F">
            <w:pPr>
              <w:rPr>
                <w:b/>
              </w:rPr>
            </w:pPr>
            <w:r w:rsidRPr="0064385C">
              <w:rPr>
                <w:b/>
              </w:rPr>
              <w:t>Assessment</w:t>
            </w:r>
          </w:p>
        </w:tc>
        <w:tc>
          <w:tcPr>
            <w:tcW w:w="8073" w:type="dxa"/>
          </w:tcPr>
          <w:p w:rsidR="001162FE" w:rsidRDefault="0069168C">
            <w:r>
              <w:t xml:space="preserve">1. </w:t>
            </w:r>
            <w:r w:rsidR="008F595A">
              <w:t>Ask about associated symptoms</w:t>
            </w:r>
          </w:p>
          <w:p w:rsidR="008F595A" w:rsidRPr="008F595A" w:rsidRDefault="008F595A" w:rsidP="008F595A">
            <w:pPr>
              <w:pStyle w:val="ListParagraph"/>
              <w:numPr>
                <w:ilvl w:val="0"/>
                <w:numId w:val="2"/>
              </w:numPr>
            </w:pPr>
            <w:r w:rsidRPr="008F595A">
              <w:t>Dysphagia</w:t>
            </w:r>
          </w:p>
          <w:p w:rsidR="008F595A" w:rsidRPr="008F595A" w:rsidRDefault="008F595A" w:rsidP="008F595A">
            <w:pPr>
              <w:pStyle w:val="ListParagraph"/>
              <w:numPr>
                <w:ilvl w:val="0"/>
                <w:numId w:val="2"/>
              </w:numPr>
            </w:pPr>
            <w:r w:rsidRPr="008F595A">
              <w:t>Acid regurgitation</w:t>
            </w:r>
          </w:p>
          <w:p w:rsidR="008F595A" w:rsidRPr="008F595A" w:rsidRDefault="008F595A" w:rsidP="008F595A">
            <w:pPr>
              <w:pStyle w:val="ListParagraph"/>
              <w:numPr>
                <w:ilvl w:val="0"/>
                <w:numId w:val="2"/>
              </w:numPr>
            </w:pPr>
            <w:r w:rsidRPr="008F595A">
              <w:t>Anorexia</w:t>
            </w:r>
          </w:p>
          <w:p w:rsidR="008F595A" w:rsidRPr="008F595A" w:rsidRDefault="008F595A" w:rsidP="008F595A">
            <w:pPr>
              <w:pStyle w:val="ListParagraph"/>
              <w:numPr>
                <w:ilvl w:val="0"/>
                <w:numId w:val="2"/>
              </w:numPr>
            </w:pPr>
            <w:r w:rsidRPr="008F595A">
              <w:t>Weight loss</w:t>
            </w:r>
          </w:p>
          <w:p w:rsidR="008F595A" w:rsidRPr="008F595A" w:rsidRDefault="008F595A" w:rsidP="008F595A">
            <w:pPr>
              <w:pStyle w:val="ListParagraph"/>
              <w:numPr>
                <w:ilvl w:val="0"/>
                <w:numId w:val="2"/>
              </w:numPr>
            </w:pPr>
            <w:r w:rsidRPr="008F595A">
              <w:t>Symptoms of anaemia</w:t>
            </w:r>
          </w:p>
          <w:p w:rsidR="008F595A" w:rsidRPr="008F595A" w:rsidRDefault="008F595A" w:rsidP="008F595A">
            <w:pPr>
              <w:pStyle w:val="ListParagraph"/>
              <w:numPr>
                <w:ilvl w:val="0"/>
                <w:numId w:val="2"/>
              </w:numPr>
            </w:pPr>
            <w:r w:rsidRPr="008F595A">
              <w:t>Excessive wind</w:t>
            </w:r>
          </w:p>
          <w:p w:rsidR="008F595A" w:rsidRPr="008F595A" w:rsidRDefault="008F595A" w:rsidP="008F595A">
            <w:pPr>
              <w:pStyle w:val="ListParagraph"/>
              <w:numPr>
                <w:ilvl w:val="0"/>
                <w:numId w:val="2"/>
              </w:numPr>
            </w:pPr>
            <w:r w:rsidRPr="008F595A">
              <w:t>Altered bowel habit</w:t>
            </w:r>
          </w:p>
          <w:p w:rsidR="008F595A" w:rsidRDefault="008F595A" w:rsidP="008F595A">
            <w:pPr>
              <w:pStyle w:val="ListParagraph"/>
              <w:numPr>
                <w:ilvl w:val="0"/>
                <w:numId w:val="2"/>
              </w:numPr>
            </w:pPr>
            <w:proofErr w:type="spellStart"/>
            <w:r w:rsidRPr="008F595A">
              <w:t>Melaena</w:t>
            </w:r>
            <w:proofErr w:type="spellEnd"/>
          </w:p>
          <w:p w:rsidR="008F595A" w:rsidRPr="008F595A" w:rsidRDefault="008F595A" w:rsidP="008F595A">
            <w:pPr>
              <w:rPr>
                <w:sz w:val="12"/>
                <w:szCs w:val="12"/>
              </w:rPr>
            </w:pPr>
          </w:p>
          <w:p w:rsidR="008F595A" w:rsidRDefault="0069168C" w:rsidP="008F595A">
            <w:r>
              <w:t xml:space="preserve">2. </w:t>
            </w:r>
            <w:r w:rsidR="008F595A">
              <w:t>Rule out cardiac, respiratory, biliary, or pancreatic causes.</w:t>
            </w:r>
          </w:p>
          <w:p w:rsidR="008F595A" w:rsidRPr="008F595A" w:rsidRDefault="008F595A" w:rsidP="008F595A">
            <w:pPr>
              <w:rPr>
                <w:sz w:val="12"/>
                <w:szCs w:val="12"/>
              </w:rPr>
            </w:pPr>
          </w:p>
          <w:p w:rsidR="008F595A" w:rsidRDefault="0069168C" w:rsidP="008F595A">
            <w:r>
              <w:t xml:space="preserve">3. </w:t>
            </w:r>
            <w:r w:rsidR="008F595A">
              <w:t>Assess diet, alcohol, smoking, BMI.</w:t>
            </w:r>
          </w:p>
          <w:p w:rsidR="0069168C" w:rsidRDefault="0069168C" w:rsidP="008F595A">
            <w:pPr>
              <w:rPr>
                <w:sz w:val="12"/>
                <w:szCs w:val="12"/>
              </w:rPr>
            </w:pPr>
          </w:p>
          <w:p w:rsidR="008F595A" w:rsidRDefault="0069168C" w:rsidP="008F595A">
            <w:r>
              <w:t>4. R</w:t>
            </w:r>
            <w:r w:rsidR="008F595A">
              <w:t>eview any medications (including OTC) that have been tried, as well as current medications.</w:t>
            </w:r>
          </w:p>
          <w:p w:rsidR="0069168C" w:rsidRDefault="0069168C" w:rsidP="008F595A">
            <w:pPr>
              <w:pStyle w:val="ListParagraph"/>
              <w:numPr>
                <w:ilvl w:val="0"/>
                <w:numId w:val="1"/>
              </w:numPr>
            </w:pPr>
            <w:r>
              <w:t xml:space="preserve">Community pharmacists can sell omeprazole, therefore specifically question the patient about this. </w:t>
            </w:r>
          </w:p>
          <w:p w:rsidR="008F595A" w:rsidRDefault="008F595A" w:rsidP="008F595A">
            <w:pPr>
              <w:pStyle w:val="ListParagraph"/>
              <w:numPr>
                <w:ilvl w:val="0"/>
                <w:numId w:val="1"/>
              </w:numPr>
            </w:pPr>
            <w:r>
              <w:t xml:space="preserve">Consider the effects of NSAIDs, aspirin, and COX-2 inhibitors in causing GORD. </w:t>
            </w:r>
          </w:p>
          <w:p w:rsidR="0069168C" w:rsidRPr="0069168C" w:rsidRDefault="0069168C" w:rsidP="0069168C">
            <w:pPr>
              <w:pStyle w:val="ListParagraph"/>
              <w:rPr>
                <w:sz w:val="12"/>
                <w:szCs w:val="12"/>
              </w:rPr>
            </w:pPr>
          </w:p>
          <w:p w:rsidR="008F595A" w:rsidRDefault="0069168C" w:rsidP="008F595A">
            <w:r>
              <w:t>5. E</w:t>
            </w:r>
            <w:r w:rsidR="008F595A">
              <w:t>xamination - may be normal or mild epigastric tenderness</w:t>
            </w:r>
          </w:p>
        </w:tc>
      </w:tr>
      <w:tr w:rsidR="001162FE" w:rsidTr="001162FE">
        <w:tc>
          <w:tcPr>
            <w:tcW w:w="2689" w:type="dxa"/>
          </w:tcPr>
          <w:p w:rsidR="001162FE" w:rsidRPr="0064385C" w:rsidRDefault="0064385C">
            <w:pPr>
              <w:rPr>
                <w:b/>
              </w:rPr>
            </w:pPr>
            <w:r>
              <w:rPr>
                <w:b/>
              </w:rPr>
              <w:t>Indication</w:t>
            </w:r>
          </w:p>
        </w:tc>
        <w:tc>
          <w:tcPr>
            <w:tcW w:w="8073" w:type="dxa"/>
          </w:tcPr>
          <w:p w:rsidR="001162FE" w:rsidRPr="0063643C" w:rsidRDefault="00B2041E">
            <w:pPr>
              <w:rPr>
                <w:b/>
              </w:rPr>
            </w:pPr>
            <w:r w:rsidRPr="0063643C">
              <w:rPr>
                <w:b/>
              </w:rPr>
              <w:t>Therapeutic trial to aid in the diagnosis of GORD.</w:t>
            </w:r>
          </w:p>
        </w:tc>
      </w:tr>
      <w:tr w:rsidR="001162FE" w:rsidTr="001162FE">
        <w:tc>
          <w:tcPr>
            <w:tcW w:w="2689" w:type="dxa"/>
          </w:tcPr>
          <w:p w:rsidR="001162FE" w:rsidRPr="0064385C" w:rsidRDefault="00877CF2">
            <w:pPr>
              <w:rPr>
                <w:b/>
              </w:rPr>
            </w:pPr>
            <w:r w:rsidRPr="0064385C">
              <w:rPr>
                <w:b/>
              </w:rPr>
              <w:t>Medicine</w:t>
            </w:r>
          </w:p>
        </w:tc>
        <w:tc>
          <w:tcPr>
            <w:tcW w:w="8073" w:type="dxa"/>
          </w:tcPr>
          <w:p w:rsidR="001162FE" w:rsidRDefault="0069168C">
            <w:r w:rsidRPr="0063643C">
              <w:rPr>
                <w:b/>
              </w:rPr>
              <w:t>Omeprazole</w:t>
            </w:r>
            <w:r>
              <w:t xml:space="preserve"> 20mg</w:t>
            </w:r>
          </w:p>
        </w:tc>
      </w:tr>
      <w:tr w:rsidR="001162FE" w:rsidTr="001162FE">
        <w:tc>
          <w:tcPr>
            <w:tcW w:w="2689" w:type="dxa"/>
          </w:tcPr>
          <w:p w:rsidR="00877CF2" w:rsidRPr="0064385C" w:rsidRDefault="00877CF2">
            <w:pPr>
              <w:rPr>
                <w:b/>
              </w:rPr>
            </w:pPr>
            <w:r w:rsidRPr="0064385C">
              <w:rPr>
                <w:b/>
              </w:rPr>
              <w:t>Dosage instructions</w:t>
            </w:r>
          </w:p>
        </w:tc>
        <w:tc>
          <w:tcPr>
            <w:tcW w:w="8073" w:type="dxa"/>
          </w:tcPr>
          <w:p w:rsidR="001162FE" w:rsidRDefault="00861DBF">
            <w:r>
              <w:t xml:space="preserve">Take </w:t>
            </w:r>
            <w:r w:rsidR="0026795B">
              <w:t>ONE</w:t>
            </w:r>
            <w:r w:rsidR="0069168C">
              <w:t xml:space="preserve"> capsule ONCE daily</w:t>
            </w:r>
            <w:r w:rsidR="002774C0">
              <w:t xml:space="preserve"> </w:t>
            </w:r>
            <w:r w:rsidR="002774C0" w:rsidRPr="00861DBF">
              <w:t>30 minutes before breakfast with water</w:t>
            </w:r>
            <w:r>
              <w:t>.</w:t>
            </w:r>
            <w:bookmarkStart w:id="0" w:name="_GoBack"/>
            <w:bookmarkEnd w:id="0"/>
          </w:p>
        </w:tc>
      </w:tr>
      <w:tr w:rsidR="001162FE" w:rsidTr="001162FE">
        <w:tc>
          <w:tcPr>
            <w:tcW w:w="2689" w:type="dxa"/>
          </w:tcPr>
          <w:p w:rsidR="001162FE" w:rsidRPr="0064385C" w:rsidRDefault="00877CF2">
            <w:pPr>
              <w:rPr>
                <w:b/>
              </w:rPr>
            </w:pPr>
            <w:r w:rsidRPr="0064385C">
              <w:rPr>
                <w:b/>
              </w:rPr>
              <w:t>Route of administration</w:t>
            </w:r>
          </w:p>
        </w:tc>
        <w:tc>
          <w:tcPr>
            <w:tcW w:w="8073" w:type="dxa"/>
          </w:tcPr>
          <w:p w:rsidR="001162FE" w:rsidRDefault="0069168C">
            <w:r>
              <w:t>Oral</w:t>
            </w:r>
          </w:p>
        </w:tc>
      </w:tr>
      <w:tr w:rsidR="001162FE" w:rsidTr="001162FE">
        <w:tc>
          <w:tcPr>
            <w:tcW w:w="2689" w:type="dxa"/>
          </w:tcPr>
          <w:p w:rsidR="001162FE" w:rsidRPr="0064385C" w:rsidRDefault="0064385C" w:rsidP="0064385C">
            <w:pPr>
              <w:rPr>
                <w:b/>
              </w:rPr>
            </w:pPr>
            <w:r>
              <w:rPr>
                <w:b/>
              </w:rPr>
              <w:t>Quantity to be given</w:t>
            </w:r>
          </w:p>
        </w:tc>
        <w:tc>
          <w:tcPr>
            <w:tcW w:w="8073" w:type="dxa"/>
          </w:tcPr>
          <w:p w:rsidR="001162FE" w:rsidRDefault="0069168C">
            <w:r>
              <w:t>30 days</w:t>
            </w:r>
          </w:p>
        </w:tc>
      </w:tr>
      <w:tr w:rsidR="001162FE" w:rsidTr="001162FE">
        <w:tc>
          <w:tcPr>
            <w:tcW w:w="2689" w:type="dxa"/>
          </w:tcPr>
          <w:p w:rsidR="001162FE" w:rsidRPr="0064385C" w:rsidRDefault="00877CF2">
            <w:pPr>
              <w:rPr>
                <w:b/>
              </w:rPr>
            </w:pPr>
            <w:r w:rsidRPr="0064385C">
              <w:rPr>
                <w:b/>
              </w:rPr>
              <w:t>Contraindications</w:t>
            </w:r>
          </w:p>
        </w:tc>
        <w:tc>
          <w:tcPr>
            <w:tcW w:w="8073" w:type="dxa"/>
          </w:tcPr>
          <w:p w:rsidR="001162FE" w:rsidRDefault="0063643C">
            <w:r>
              <w:t>No specific contraindications, just be aware of red flags and refer immediately if any present.</w:t>
            </w:r>
          </w:p>
        </w:tc>
      </w:tr>
      <w:tr w:rsidR="001162FE" w:rsidTr="001162FE">
        <w:tc>
          <w:tcPr>
            <w:tcW w:w="2689" w:type="dxa"/>
          </w:tcPr>
          <w:p w:rsidR="001162FE" w:rsidRPr="0064385C" w:rsidRDefault="00877CF2">
            <w:pPr>
              <w:rPr>
                <w:b/>
              </w:rPr>
            </w:pPr>
            <w:r w:rsidRPr="0064385C">
              <w:rPr>
                <w:b/>
              </w:rPr>
              <w:t>Precautions</w:t>
            </w:r>
          </w:p>
        </w:tc>
        <w:tc>
          <w:tcPr>
            <w:tcW w:w="8073" w:type="dxa"/>
          </w:tcPr>
          <w:p w:rsidR="001162FE" w:rsidRDefault="0026795B" w:rsidP="0063643C">
            <w:pPr>
              <w:pStyle w:val="ListParagraph"/>
              <w:numPr>
                <w:ilvl w:val="0"/>
                <w:numId w:val="4"/>
              </w:numPr>
            </w:pPr>
            <w:r>
              <w:t xml:space="preserve">Risk of hypomagnesaemia </w:t>
            </w:r>
          </w:p>
          <w:p w:rsidR="0063643C" w:rsidRDefault="0063643C" w:rsidP="0063643C">
            <w:pPr>
              <w:pStyle w:val="ListParagraph"/>
              <w:numPr>
                <w:ilvl w:val="0"/>
                <w:numId w:val="4"/>
              </w:numPr>
            </w:pPr>
            <w:r>
              <w:t xml:space="preserve">A </w:t>
            </w:r>
            <w:r w:rsidRPr="0063643C">
              <w:t>proton pump inhibitor should be prescribed for appropriate indications at the lowest effective dose for the shortest period</w:t>
            </w:r>
          </w:p>
        </w:tc>
      </w:tr>
      <w:tr w:rsidR="008C2A3F" w:rsidTr="001162FE">
        <w:tc>
          <w:tcPr>
            <w:tcW w:w="2689" w:type="dxa"/>
          </w:tcPr>
          <w:p w:rsidR="008C2A3F" w:rsidRPr="0064385C" w:rsidRDefault="008C2A3F" w:rsidP="008C2A3F">
            <w:pPr>
              <w:rPr>
                <w:b/>
              </w:rPr>
            </w:pPr>
            <w:r w:rsidRPr="0064385C">
              <w:rPr>
                <w:b/>
              </w:rPr>
              <w:t>Additional information</w:t>
            </w:r>
          </w:p>
        </w:tc>
        <w:tc>
          <w:tcPr>
            <w:tcW w:w="8073" w:type="dxa"/>
          </w:tcPr>
          <w:p w:rsidR="006D318C" w:rsidRDefault="006D318C" w:rsidP="006D318C">
            <w:r>
              <w:t>Modify any lifestyle factors.</w:t>
            </w:r>
          </w:p>
          <w:p w:rsidR="006D318C" w:rsidRDefault="006D318C" w:rsidP="001C384F">
            <w:pPr>
              <w:pStyle w:val="ListParagraph"/>
              <w:numPr>
                <w:ilvl w:val="0"/>
                <w:numId w:val="3"/>
              </w:numPr>
            </w:pPr>
            <w:r>
              <w:t>Healthy eating - e.g., smaller meals, reducing fatty foods, and not eating before bed</w:t>
            </w:r>
          </w:p>
          <w:p w:rsidR="006D318C" w:rsidRDefault="006D318C" w:rsidP="001C384F">
            <w:pPr>
              <w:pStyle w:val="ListParagraph"/>
              <w:numPr>
                <w:ilvl w:val="0"/>
                <w:numId w:val="3"/>
              </w:numPr>
            </w:pPr>
            <w:r>
              <w:t>Weight reduction</w:t>
            </w:r>
          </w:p>
          <w:p w:rsidR="006D318C" w:rsidRDefault="006D318C" w:rsidP="001C384F">
            <w:pPr>
              <w:pStyle w:val="ListParagraph"/>
              <w:numPr>
                <w:ilvl w:val="0"/>
                <w:numId w:val="3"/>
              </w:numPr>
            </w:pPr>
            <w:r>
              <w:lastRenderedPageBreak/>
              <w:t>Smoking cessation</w:t>
            </w:r>
          </w:p>
          <w:p w:rsidR="006D318C" w:rsidRDefault="006D318C" w:rsidP="001C384F">
            <w:pPr>
              <w:pStyle w:val="ListParagraph"/>
              <w:numPr>
                <w:ilvl w:val="0"/>
                <w:numId w:val="3"/>
              </w:numPr>
            </w:pPr>
            <w:r>
              <w:t>Limiting alcohol</w:t>
            </w:r>
          </w:p>
          <w:p w:rsidR="008C2A3F" w:rsidRDefault="006D318C" w:rsidP="001C384F">
            <w:pPr>
              <w:pStyle w:val="ListParagraph"/>
              <w:numPr>
                <w:ilvl w:val="0"/>
                <w:numId w:val="3"/>
              </w:numPr>
            </w:pPr>
            <w:r>
              <w:t>Avoiding triggers</w:t>
            </w:r>
          </w:p>
          <w:p w:rsidR="001C384F" w:rsidRPr="001C384F" w:rsidRDefault="001C384F" w:rsidP="001C384F">
            <w:pPr>
              <w:rPr>
                <w:sz w:val="12"/>
                <w:szCs w:val="12"/>
              </w:rPr>
            </w:pPr>
          </w:p>
          <w:p w:rsidR="006D318C" w:rsidRDefault="006D318C" w:rsidP="001C384F">
            <w:r>
              <w:t>If</w:t>
            </w:r>
            <w:r w:rsidR="001C384F">
              <w:t xml:space="preserve"> on any aggravating medications, then consultation with a medical practitioner needs to occur to determine whether the medication can be safely withheld or stopped.</w:t>
            </w:r>
          </w:p>
          <w:p w:rsidR="001C384F" w:rsidRPr="001C384F" w:rsidRDefault="001C384F" w:rsidP="006D318C">
            <w:pPr>
              <w:rPr>
                <w:sz w:val="12"/>
                <w:szCs w:val="12"/>
              </w:rPr>
            </w:pPr>
          </w:p>
          <w:p w:rsidR="001C384F" w:rsidRDefault="001C384F" w:rsidP="006D318C">
            <w:r w:rsidRPr="001C384F">
              <w:t>The possibility of the patient developing rebound acid secretion following treatment withdrawal should also be discussed. This occurs due to increased production of gastrin, which is released to compensate for the decreased acidity of the stomach when PPIs are taken.</w:t>
            </w:r>
          </w:p>
        </w:tc>
      </w:tr>
      <w:tr w:rsidR="008C2A3F" w:rsidTr="001162FE">
        <w:tc>
          <w:tcPr>
            <w:tcW w:w="2689" w:type="dxa"/>
          </w:tcPr>
          <w:p w:rsidR="008C2A3F" w:rsidRPr="0064385C" w:rsidRDefault="008C2A3F" w:rsidP="008C2A3F">
            <w:pPr>
              <w:rPr>
                <w:b/>
              </w:rPr>
            </w:pPr>
            <w:r w:rsidRPr="0064385C">
              <w:rPr>
                <w:b/>
              </w:rPr>
              <w:lastRenderedPageBreak/>
              <w:t>Follow-up</w:t>
            </w:r>
          </w:p>
        </w:tc>
        <w:tc>
          <w:tcPr>
            <w:tcW w:w="8073" w:type="dxa"/>
          </w:tcPr>
          <w:p w:rsidR="008C2A3F" w:rsidRDefault="007E52D8" w:rsidP="008C2A3F">
            <w:r>
              <w:t>Patients need to be reassessed if symptoms persist or worsen despite treatment.</w:t>
            </w:r>
          </w:p>
          <w:p w:rsidR="007E52D8" w:rsidRPr="007E52D8" w:rsidRDefault="007E52D8" w:rsidP="008C2A3F">
            <w:pPr>
              <w:rPr>
                <w:sz w:val="12"/>
                <w:szCs w:val="12"/>
              </w:rPr>
            </w:pPr>
          </w:p>
          <w:p w:rsidR="007E52D8" w:rsidRDefault="007E52D8" w:rsidP="007E52D8">
            <w:r>
              <w:t xml:space="preserve">Patients should be advised to make another appointment within the month to assess treatment efficacy and continuation or cessation of treatment. </w:t>
            </w:r>
          </w:p>
        </w:tc>
      </w:tr>
      <w:tr w:rsidR="0070113B" w:rsidTr="001162FE">
        <w:tc>
          <w:tcPr>
            <w:tcW w:w="2689" w:type="dxa"/>
          </w:tcPr>
          <w:p w:rsidR="0070113B" w:rsidRPr="0064385C" w:rsidRDefault="0070113B" w:rsidP="0070113B">
            <w:pPr>
              <w:rPr>
                <w:b/>
              </w:rPr>
            </w:pPr>
            <w:r w:rsidRPr="0064385C">
              <w:rPr>
                <w:b/>
              </w:rPr>
              <w:t>Countersigning and auditing</w:t>
            </w:r>
          </w:p>
        </w:tc>
        <w:tc>
          <w:tcPr>
            <w:tcW w:w="8073" w:type="dxa"/>
          </w:tcPr>
          <w:p w:rsidR="0070113B" w:rsidRDefault="0070113B" w:rsidP="0070113B">
            <w:r>
              <w:t>Countersigning is not required. Audited monthly.</w:t>
            </w:r>
          </w:p>
          <w:p w:rsidR="0070113B" w:rsidRPr="0070113B" w:rsidRDefault="0070113B" w:rsidP="0070113B">
            <w:pPr>
              <w:rPr>
                <w:b/>
              </w:rPr>
            </w:pPr>
            <w:r w:rsidRPr="0070113B">
              <w:rPr>
                <w:b/>
              </w:rPr>
              <w:t xml:space="preserve">OR </w:t>
            </w:r>
          </w:p>
          <w:p w:rsidR="0070113B" w:rsidRDefault="0070113B" w:rsidP="0070113B">
            <w:r>
              <w:t xml:space="preserve">Countersigning is required within </w:t>
            </w:r>
            <w:r w:rsidRPr="00070579">
              <w:rPr>
                <w:b/>
                <w:i/>
              </w:rPr>
              <w:t>XX</w:t>
            </w:r>
            <w:r>
              <w:t xml:space="preserve"> days</w:t>
            </w:r>
          </w:p>
        </w:tc>
      </w:tr>
      <w:tr w:rsidR="0070113B" w:rsidTr="001162FE">
        <w:tc>
          <w:tcPr>
            <w:tcW w:w="2689" w:type="dxa"/>
          </w:tcPr>
          <w:p w:rsidR="0070113B" w:rsidRPr="0064385C" w:rsidRDefault="0070113B" w:rsidP="0070113B">
            <w:pPr>
              <w:rPr>
                <w:b/>
              </w:rPr>
            </w:pPr>
            <w:r w:rsidRPr="0064385C">
              <w:rPr>
                <w:b/>
              </w:rPr>
              <w:t>Competency/training requirements</w:t>
            </w:r>
          </w:p>
        </w:tc>
        <w:tc>
          <w:tcPr>
            <w:tcW w:w="8073" w:type="dxa"/>
          </w:tcPr>
          <w:p w:rsidR="0070113B" w:rsidRDefault="0070113B" w:rsidP="0070113B">
            <w:r>
              <w:t>All nurses working under this standing order must be signed off as competent to do so by the issuer and have had specific training in this standing order.</w:t>
            </w:r>
          </w:p>
        </w:tc>
      </w:tr>
      <w:tr w:rsidR="0070113B" w:rsidTr="001162FE">
        <w:tc>
          <w:tcPr>
            <w:tcW w:w="2689" w:type="dxa"/>
          </w:tcPr>
          <w:p w:rsidR="0070113B" w:rsidRPr="0064385C" w:rsidRDefault="0070113B" w:rsidP="0070113B">
            <w:pPr>
              <w:rPr>
                <w:b/>
              </w:rPr>
            </w:pPr>
            <w:r w:rsidRPr="0064385C">
              <w:rPr>
                <w:b/>
              </w:rPr>
              <w:t>Supporting documentation</w:t>
            </w:r>
          </w:p>
        </w:tc>
        <w:tc>
          <w:tcPr>
            <w:tcW w:w="8073" w:type="dxa"/>
          </w:tcPr>
          <w:p w:rsidR="00476AA6" w:rsidRDefault="00476AA6" w:rsidP="00476AA6">
            <w:proofErr w:type="spellStart"/>
            <w:r>
              <w:t>Healthpathways</w:t>
            </w:r>
            <w:proofErr w:type="spellEnd"/>
            <w:r>
              <w:t xml:space="preserve"> at </w:t>
            </w:r>
            <w:hyperlink r:id="rId8" w:history="1">
              <w:r w:rsidRPr="00254A91">
                <w:rPr>
                  <w:rStyle w:val="Hyperlink"/>
                </w:rPr>
                <w:t>www.healthpathways.org.nz</w:t>
              </w:r>
            </w:hyperlink>
            <w:r>
              <w:t xml:space="preserve"> </w:t>
            </w:r>
          </w:p>
          <w:p w:rsidR="00476AA6" w:rsidRDefault="00476AA6" w:rsidP="00476AA6">
            <w:r>
              <w:t xml:space="preserve">Best Practice Journal at </w:t>
            </w:r>
            <w:hyperlink r:id="rId9" w:history="1">
              <w:r w:rsidRPr="00254A91">
                <w:rPr>
                  <w:rStyle w:val="Hyperlink"/>
                </w:rPr>
                <w:t>www.bpac.org.nz</w:t>
              </w:r>
            </w:hyperlink>
            <w:r>
              <w:t xml:space="preserve"> </w:t>
            </w:r>
          </w:p>
          <w:p w:rsidR="00476AA6" w:rsidRDefault="00476AA6" w:rsidP="00476AA6">
            <w:r>
              <w:t xml:space="preserve">New Zealand Formulary at </w:t>
            </w:r>
            <w:hyperlink r:id="rId10" w:history="1">
              <w:r w:rsidRPr="00254A91">
                <w:rPr>
                  <w:rStyle w:val="Hyperlink"/>
                </w:rPr>
                <w:t>www.nzf.org.nz</w:t>
              </w:r>
            </w:hyperlink>
            <w:r>
              <w:t xml:space="preserve"> </w:t>
            </w:r>
          </w:p>
          <w:p w:rsidR="00476AA6" w:rsidRDefault="00476AA6" w:rsidP="00476AA6">
            <w:r>
              <w:t xml:space="preserve">Individual medicine data sheets at </w:t>
            </w:r>
            <w:hyperlink r:id="rId11" w:history="1">
              <w:r w:rsidRPr="00254A91">
                <w:rPr>
                  <w:rStyle w:val="Hyperlink"/>
                </w:rPr>
                <w:t>www.medsafe.govt.nz</w:t>
              </w:r>
            </w:hyperlink>
            <w:r>
              <w:t xml:space="preserve"> </w:t>
            </w:r>
          </w:p>
          <w:p w:rsidR="005216BC" w:rsidRDefault="00476AA6" w:rsidP="0070113B">
            <w:r>
              <w:t>Standing Order Guidelines, Ministry of Health, 2012</w:t>
            </w:r>
          </w:p>
          <w:p w:rsidR="007D09F9" w:rsidRDefault="007D09F9" w:rsidP="0070113B">
            <w:r>
              <w:t>Medicines (Standing Order) Regulations 2012 (Standing Order Regulations)</w:t>
            </w:r>
          </w:p>
        </w:tc>
      </w:tr>
      <w:tr w:rsidR="0070113B" w:rsidTr="001162FE">
        <w:tc>
          <w:tcPr>
            <w:tcW w:w="2689" w:type="dxa"/>
          </w:tcPr>
          <w:p w:rsidR="0070113B" w:rsidRPr="0064385C" w:rsidRDefault="0070113B" w:rsidP="0070113B">
            <w:pPr>
              <w:rPr>
                <w:b/>
              </w:rPr>
            </w:pPr>
            <w:r w:rsidRPr="0064385C">
              <w:rPr>
                <w:b/>
              </w:rPr>
              <w:t>Definition of terms used in standing order</w:t>
            </w:r>
          </w:p>
        </w:tc>
        <w:tc>
          <w:tcPr>
            <w:tcW w:w="8073" w:type="dxa"/>
          </w:tcPr>
          <w:p w:rsidR="0070113B" w:rsidRDefault="00D11963" w:rsidP="0070113B">
            <w:r w:rsidRPr="00D11963">
              <w:rPr>
                <w:u w:val="single"/>
              </w:rPr>
              <w:t>Heartburn</w:t>
            </w:r>
            <w:r>
              <w:t xml:space="preserve"> -</w:t>
            </w:r>
            <w:r w:rsidRPr="00D11963">
              <w:t xml:space="preserve"> is a burning feeling that rises from the stomach or lower chest towards the neck and </w:t>
            </w:r>
            <w:r w:rsidR="0063643C">
              <w:t>frequently occurs after eating.</w:t>
            </w:r>
            <w:r w:rsidRPr="00D11963">
              <w:t xml:space="preserve">  It may also be associated with bending, lying down or straining</w:t>
            </w:r>
            <w:r w:rsidR="0063643C">
              <w:t>.</w:t>
            </w:r>
          </w:p>
        </w:tc>
      </w:tr>
    </w:tbl>
    <w:p w:rsidR="001162FE" w:rsidRDefault="001162FE"/>
    <w:tbl>
      <w:tblPr>
        <w:tblStyle w:val="TableGrid"/>
        <w:tblW w:w="0" w:type="auto"/>
        <w:tblLook w:val="04A0" w:firstRow="1" w:lastRow="0" w:firstColumn="1" w:lastColumn="0" w:noHBand="0" w:noVBand="1"/>
      </w:tblPr>
      <w:tblGrid>
        <w:gridCol w:w="2689"/>
        <w:gridCol w:w="8073"/>
      </w:tblGrid>
      <w:tr w:rsidR="008C2A3F" w:rsidTr="006D318C">
        <w:tc>
          <w:tcPr>
            <w:tcW w:w="2689" w:type="dxa"/>
          </w:tcPr>
          <w:p w:rsidR="008C2A3F" w:rsidRPr="0064385C" w:rsidRDefault="008C2A3F" w:rsidP="006D318C">
            <w:pPr>
              <w:rPr>
                <w:b/>
              </w:rPr>
            </w:pPr>
            <w:r w:rsidRPr="0064385C">
              <w:rPr>
                <w:b/>
              </w:rPr>
              <w:t>Medical Centre or Clinic</w:t>
            </w:r>
            <w:r w:rsidR="0064385C" w:rsidRPr="0064385C">
              <w:rPr>
                <w:b/>
              </w:rPr>
              <w:t>:</w:t>
            </w:r>
          </w:p>
        </w:tc>
        <w:tc>
          <w:tcPr>
            <w:tcW w:w="8073" w:type="dxa"/>
          </w:tcPr>
          <w:p w:rsidR="008C2A3F" w:rsidRDefault="008C2A3F" w:rsidP="006D318C"/>
        </w:tc>
      </w:tr>
    </w:tbl>
    <w:p w:rsidR="001162FE" w:rsidRDefault="001162FE"/>
    <w:tbl>
      <w:tblPr>
        <w:tblStyle w:val="TableGrid"/>
        <w:tblW w:w="0" w:type="auto"/>
        <w:tblLook w:val="04A0" w:firstRow="1" w:lastRow="0" w:firstColumn="1" w:lastColumn="0" w:noHBand="0" w:noVBand="1"/>
      </w:tblPr>
      <w:tblGrid>
        <w:gridCol w:w="2122"/>
      </w:tblGrid>
      <w:tr w:rsidR="001162FE" w:rsidTr="00877CF2">
        <w:tc>
          <w:tcPr>
            <w:tcW w:w="2122" w:type="dxa"/>
          </w:tcPr>
          <w:p w:rsidR="001162FE" w:rsidRPr="0064385C" w:rsidRDefault="00877CF2">
            <w:pPr>
              <w:rPr>
                <w:b/>
              </w:rPr>
            </w:pPr>
            <w:r w:rsidRPr="0064385C">
              <w:rPr>
                <w:b/>
              </w:rPr>
              <w:t>Signed by issuers</w:t>
            </w:r>
          </w:p>
        </w:tc>
      </w:tr>
    </w:tbl>
    <w:p w:rsidR="001162FE" w:rsidRDefault="001162FE"/>
    <w:p w:rsidR="001162FE" w:rsidRDefault="001162FE">
      <w:r>
        <w:t>Name:</w:t>
      </w:r>
      <w:r>
        <w:tab/>
        <w:t>____________________________</w:t>
      </w:r>
      <w:r>
        <w:tab/>
      </w:r>
      <w:r>
        <w:tab/>
        <w:t>Signature: __________________________</w:t>
      </w:r>
    </w:p>
    <w:p w:rsidR="001162FE" w:rsidRDefault="001162FE">
      <w:r>
        <w:t>Title:</w:t>
      </w:r>
      <w:r>
        <w:tab/>
        <w:t>____________________________</w:t>
      </w:r>
      <w:r>
        <w:tab/>
      </w:r>
      <w:r>
        <w:tab/>
        <w:t>Date: _________________</w:t>
      </w:r>
    </w:p>
    <w:tbl>
      <w:tblPr>
        <w:tblStyle w:val="TableGrid"/>
        <w:tblW w:w="0" w:type="auto"/>
        <w:tblLook w:val="04A0" w:firstRow="1" w:lastRow="0" w:firstColumn="1" w:lastColumn="0" w:noHBand="0" w:noVBand="1"/>
      </w:tblPr>
      <w:tblGrid>
        <w:gridCol w:w="4531"/>
      </w:tblGrid>
      <w:tr w:rsidR="001162FE" w:rsidTr="0064385C">
        <w:trPr>
          <w:trHeight w:val="123"/>
        </w:trPr>
        <w:tc>
          <w:tcPr>
            <w:tcW w:w="4531" w:type="dxa"/>
          </w:tcPr>
          <w:p w:rsidR="001162FE" w:rsidRPr="0064385C" w:rsidRDefault="001162FE">
            <w:pPr>
              <w:rPr>
                <w:b/>
              </w:rPr>
            </w:pPr>
            <w:r w:rsidRPr="0064385C">
              <w:rPr>
                <w:b/>
              </w:rPr>
              <w:t>Nurses operating under this standing order</w:t>
            </w:r>
          </w:p>
        </w:tc>
      </w:tr>
    </w:tbl>
    <w:p w:rsidR="001162FE" w:rsidRDefault="001162FE"/>
    <w:p w:rsidR="0064385C" w:rsidRDefault="0064385C" w:rsidP="0064385C">
      <w:r>
        <w:t xml:space="preserve">Only Registered nurses working within the above medical centre or clinic are authorised to administer medication under this standing order. </w:t>
      </w:r>
    </w:p>
    <w:p w:rsidR="001162FE" w:rsidRDefault="001162FE">
      <w:r>
        <w:t>We the undersigned agree that we have read, understood and will comply with this standing order and all associated documents.</w:t>
      </w:r>
    </w:p>
    <w:p w:rsidR="001162FE" w:rsidRDefault="001162FE"/>
    <w:p w:rsidR="001162FE" w:rsidRDefault="001162FE">
      <w:r>
        <w:t>Name: ______________________   Signature: _________________________</w:t>
      </w:r>
      <w:proofErr w:type="gramStart"/>
      <w:r>
        <w:t>_  Date</w:t>
      </w:r>
      <w:proofErr w:type="gramEnd"/>
      <w:r>
        <w:t>: ______________</w:t>
      </w:r>
    </w:p>
    <w:p w:rsidR="001162FE" w:rsidRDefault="001162FE" w:rsidP="001162FE">
      <w:r>
        <w:t>Name: ______________________   Signature: _________________________</w:t>
      </w:r>
      <w:proofErr w:type="gramStart"/>
      <w:r>
        <w:t>_  Date</w:t>
      </w:r>
      <w:proofErr w:type="gramEnd"/>
      <w:r>
        <w:t>: ______________</w:t>
      </w:r>
    </w:p>
    <w:p w:rsidR="001162FE" w:rsidRDefault="001162FE" w:rsidP="001162FE">
      <w:r>
        <w:t>Name: ______________________   Signature: _________________________</w:t>
      </w:r>
      <w:proofErr w:type="gramStart"/>
      <w:r>
        <w:t>_  Date</w:t>
      </w:r>
      <w:proofErr w:type="gramEnd"/>
      <w:r>
        <w:t>: ______________</w:t>
      </w:r>
    </w:p>
    <w:p w:rsidR="001162FE" w:rsidRDefault="001162FE">
      <w:r>
        <w:t>Name: ______________________   Signature: _________________________</w:t>
      </w:r>
      <w:proofErr w:type="gramStart"/>
      <w:r>
        <w:t>_  Date</w:t>
      </w:r>
      <w:proofErr w:type="gramEnd"/>
      <w:r>
        <w:t>: ______________</w:t>
      </w:r>
    </w:p>
    <w:sectPr w:rsidR="001162FE" w:rsidSect="00D270A8">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410" w:rsidRDefault="009D6410" w:rsidP="007D09F9">
      <w:pPr>
        <w:spacing w:after="0" w:line="240" w:lineRule="auto"/>
      </w:pPr>
      <w:r>
        <w:separator/>
      </w:r>
    </w:p>
  </w:endnote>
  <w:endnote w:type="continuationSeparator" w:id="0">
    <w:p w:rsidR="009D6410" w:rsidRDefault="009D6410" w:rsidP="007D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10" w:rsidRDefault="009D6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10" w:rsidRDefault="009D6410">
    <w:pPr>
      <w:pStyle w:val="Footer"/>
    </w:pPr>
    <w:r>
      <w:t>GORD Standing Order</w:t>
    </w:r>
    <w:r>
      <w:tab/>
      <w:t>October 2015</w:t>
    </w:r>
    <w:r>
      <w:tab/>
      <w:t>WellSouth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10" w:rsidRDefault="009D6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410" w:rsidRDefault="009D6410" w:rsidP="007D09F9">
      <w:pPr>
        <w:spacing w:after="0" w:line="240" w:lineRule="auto"/>
      </w:pPr>
      <w:r>
        <w:separator/>
      </w:r>
    </w:p>
  </w:footnote>
  <w:footnote w:type="continuationSeparator" w:id="0">
    <w:p w:rsidR="009D6410" w:rsidRDefault="009D6410" w:rsidP="007D0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10" w:rsidRDefault="009D6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10" w:rsidRDefault="009D64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10" w:rsidRDefault="009D6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97995"/>
    <w:multiLevelType w:val="hybridMultilevel"/>
    <w:tmpl w:val="2EBC4F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C2C2FED"/>
    <w:multiLevelType w:val="hybridMultilevel"/>
    <w:tmpl w:val="A882F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28F21A1"/>
    <w:multiLevelType w:val="hybridMultilevel"/>
    <w:tmpl w:val="85C2FE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8467648"/>
    <w:multiLevelType w:val="hybridMultilevel"/>
    <w:tmpl w:val="1096C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A8"/>
    <w:rsid w:val="000E47A6"/>
    <w:rsid w:val="001162FE"/>
    <w:rsid w:val="00123A68"/>
    <w:rsid w:val="001C384F"/>
    <w:rsid w:val="0026795B"/>
    <w:rsid w:val="002774C0"/>
    <w:rsid w:val="002A4F5D"/>
    <w:rsid w:val="00476AA6"/>
    <w:rsid w:val="005216BC"/>
    <w:rsid w:val="0063643C"/>
    <w:rsid w:val="0064385C"/>
    <w:rsid w:val="0069168C"/>
    <w:rsid w:val="006D318C"/>
    <w:rsid w:val="0070113B"/>
    <w:rsid w:val="007D09F9"/>
    <w:rsid w:val="007E52D8"/>
    <w:rsid w:val="00802C1A"/>
    <w:rsid w:val="00853012"/>
    <w:rsid w:val="00861DBF"/>
    <w:rsid w:val="00877CF2"/>
    <w:rsid w:val="008C2A3F"/>
    <w:rsid w:val="008F595A"/>
    <w:rsid w:val="009D6410"/>
    <w:rsid w:val="00B2041E"/>
    <w:rsid w:val="00D11963"/>
    <w:rsid w:val="00D270A8"/>
    <w:rsid w:val="00F675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9DDCF-23F5-477A-8B59-51F0AA92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AA6"/>
    <w:rPr>
      <w:color w:val="0563C1" w:themeColor="hyperlink"/>
      <w:u w:val="single"/>
    </w:rPr>
  </w:style>
  <w:style w:type="paragraph" w:styleId="ListParagraph">
    <w:name w:val="List Paragraph"/>
    <w:basedOn w:val="Normal"/>
    <w:uiPriority w:val="34"/>
    <w:qFormat/>
    <w:rsid w:val="008F595A"/>
    <w:pPr>
      <w:ind w:left="720"/>
      <w:contextualSpacing/>
    </w:pPr>
  </w:style>
  <w:style w:type="paragraph" w:styleId="Header">
    <w:name w:val="header"/>
    <w:basedOn w:val="Normal"/>
    <w:link w:val="HeaderChar"/>
    <w:uiPriority w:val="99"/>
    <w:unhideWhenUsed/>
    <w:rsid w:val="007D0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9F9"/>
  </w:style>
  <w:style w:type="paragraph" w:styleId="Footer">
    <w:name w:val="footer"/>
    <w:basedOn w:val="Normal"/>
    <w:link w:val="FooterChar"/>
    <w:uiPriority w:val="99"/>
    <w:unhideWhenUsed/>
    <w:rsid w:val="007D0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9F9"/>
  </w:style>
  <w:style w:type="character" w:styleId="FollowedHyperlink">
    <w:name w:val="FollowedHyperlink"/>
    <w:basedOn w:val="DefaultParagraphFont"/>
    <w:uiPriority w:val="99"/>
    <w:semiHidden/>
    <w:unhideWhenUsed/>
    <w:rsid w:val="009D64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athways.org.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safe.govt.n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zf.org.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pac.org.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938053FB</Template>
  <TotalTime>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Southern PHO</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Leach</dc:creator>
  <cp:keywords/>
  <dc:description/>
  <cp:lastModifiedBy>Nick Leach</cp:lastModifiedBy>
  <cp:revision>2</cp:revision>
  <dcterms:created xsi:type="dcterms:W3CDTF">2015-12-09T22:34:00Z</dcterms:created>
  <dcterms:modified xsi:type="dcterms:W3CDTF">2015-12-09T22:34:00Z</dcterms:modified>
</cp:coreProperties>
</file>